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C751C" w14:textId="77777777" w:rsidR="007D3410" w:rsidRPr="00F711DF" w:rsidRDefault="007D3410" w:rsidP="00F83992">
      <w:pPr>
        <w:spacing w:before="100" w:after="100" w:line="276" w:lineRule="auto"/>
        <w:rPr>
          <w:rFonts w:ascii="Times New Roman" w:hAnsi="Times New Roman"/>
        </w:rPr>
      </w:pPr>
    </w:p>
    <w:p w14:paraId="5055AE34" w14:textId="77777777" w:rsidR="007D3410" w:rsidRPr="00F711DF" w:rsidRDefault="007D3410" w:rsidP="00F83992">
      <w:pPr>
        <w:spacing w:before="100" w:after="100" w:line="276" w:lineRule="auto"/>
        <w:rPr>
          <w:rFonts w:ascii="Times New Roman" w:hAnsi="Times New Roman"/>
        </w:rPr>
      </w:pPr>
    </w:p>
    <w:p w14:paraId="0208E4A0" w14:textId="77777777" w:rsidR="007D3410" w:rsidRPr="00F711DF" w:rsidRDefault="007D3410" w:rsidP="00F83992">
      <w:pPr>
        <w:spacing w:before="100" w:after="100" w:line="276" w:lineRule="auto"/>
        <w:rPr>
          <w:rFonts w:ascii="Times New Roman" w:hAnsi="Times New Roman"/>
        </w:rPr>
      </w:pPr>
    </w:p>
    <w:p w14:paraId="2A377889" w14:textId="77777777" w:rsidR="007D3410" w:rsidRPr="00F711DF" w:rsidRDefault="007D3410" w:rsidP="00F83992">
      <w:pPr>
        <w:spacing w:before="100" w:after="100" w:line="276" w:lineRule="auto"/>
        <w:rPr>
          <w:rFonts w:ascii="Times New Roman" w:hAnsi="Times New Roman"/>
        </w:rPr>
      </w:pPr>
    </w:p>
    <w:p w14:paraId="2D17F245" w14:textId="77777777" w:rsidR="007D3410" w:rsidRDefault="007D3410" w:rsidP="00F83992">
      <w:pPr>
        <w:spacing w:before="100" w:after="100" w:line="276" w:lineRule="auto"/>
        <w:rPr>
          <w:rFonts w:ascii="Times New Roman" w:hAnsi="Times New Roman"/>
        </w:rPr>
      </w:pPr>
    </w:p>
    <w:p w14:paraId="1D66B6B4" w14:textId="77777777" w:rsidR="009C66D6" w:rsidRPr="00F711DF" w:rsidRDefault="009C66D6" w:rsidP="00F83992">
      <w:pPr>
        <w:spacing w:before="100" w:after="100" w:line="276" w:lineRule="auto"/>
        <w:rPr>
          <w:rFonts w:ascii="Times New Roman" w:hAnsi="Times New Roman"/>
        </w:rPr>
      </w:pPr>
    </w:p>
    <w:p w14:paraId="1548E787" w14:textId="77777777" w:rsidR="0054359B" w:rsidRPr="0054359B" w:rsidRDefault="0054359B" w:rsidP="0054359B">
      <w:pPr>
        <w:spacing w:before="100" w:after="100" w:line="276" w:lineRule="auto"/>
        <w:rPr>
          <w:rFonts w:ascii="Times New Roman" w:hAnsi="Times New Roman"/>
        </w:rPr>
      </w:pPr>
      <w:r w:rsidRPr="0054359B">
        <w:rPr>
          <w:rFonts w:ascii="Times New Roman" w:hAnsi="Times New Roman"/>
        </w:rPr>
        <w:t>Climate Change Policies Review - Discussion Paper submissions</w:t>
      </w:r>
    </w:p>
    <w:p w14:paraId="28E6F552" w14:textId="77777777" w:rsidR="0054359B" w:rsidRPr="0054359B" w:rsidRDefault="0054359B" w:rsidP="0054359B">
      <w:pPr>
        <w:spacing w:before="100" w:after="100" w:line="276" w:lineRule="auto"/>
        <w:rPr>
          <w:rFonts w:ascii="Times New Roman" w:hAnsi="Times New Roman"/>
        </w:rPr>
      </w:pPr>
      <w:r w:rsidRPr="0054359B">
        <w:rPr>
          <w:rFonts w:ascii="Times New Roman" w:hAnsi="Times New Roman"/>
        </w:rPr>
        <w:t>2017 Review Branch</w:t>
      </w:r>
    </w:p>
    <w:p w14:paraId="3F5E0502" w14:textId="77777777" w:rsidR="0054359B" w:rsidRPr="0054359B" w:rsidRDefault="0054359B" w:rsidP="0054359B">
      <w:pPr>
        <w:spacing w:before="100" w:after="100" w:line="276" w:lineRule="auto"/>
        <w:rPr>
          <w:rFonts w:ascii="Times New Roman" w:hAnsi="Times New Roman"/>
        </w:rPr>
      </w:pPr>
      <w:r w:rsidRPr="0054359B">
        <w:rPr>
          <w:rFonts w:ascii="Times New Roman" w:hAnsi="Times New Roman"/>
        </w:rPr>
        <w:t>Department of the Environment and Energy</w:t>
      </w:r>
    </w:p>
    <w:p w14:paraId="14F2FCBD" w14:textId="77777777" w:rsidR="0054359B" w:rsidRPr="0054359B" w:rsidRDefault="0054359B" w:rsidP="0054359B">
      <w:pPr>
        <w:spacing w:before="100" w:after="100" w:line="276" w:lineRule="auto"/>
        <w:rPr>
          <w:rFonts w:ascii="Times New Roman" w:hAnsi="Times New Roman"/>
        </w:rPr>
      </w:pPr>
      <w:r w:rsidRPr="0054359B">
        <w:rPr>
          <w:rFonts w:ascii="Times New Roman" w:hAnsi="Times New Roman"/>
        </w:rPr>
        <w:t>GPO Box 787</w:t>
      </w:r>
    </w:p>
    <w:p w14:paraId="6032C6BD" w14:textId="48D69E6D" w:rsidR="00F83992" w:rsidRDefault="0054359B" w:rsidP="0054359B">
      <w:pPr>
        <w:spacing w:before="100" w:after="100" w:line="276" w:lineRule="auto"/>
        <w:rPr>
          <w:rFonts w:ascii="Times New Roman" w:hAnsi="Times New Roman"/>
        </w:rPr>
      </w:pPr>
      <w:r w:rsidRPr="0054359B">
        <w:rPr>
          <w:rFonts w:ascii="Times New Roman" w:hAnsi="Times New Roman"/>
        </w:rPr>
        <w:t>Canberra ACT 2601</w:t>
      </w:r>
    </w:p>
    <w:p w14:paraId="6C88852D" w14:textId="43F49D06" w:rsidR="0054359B" w:rsidRDefault="00843C1E" w:rsidP="0054359B">
      <w:pPr>
        <w:spacing w:before="100" w:after="100" w:line="276" w:lineRule="auto"/>
        <w:rPr>
          <w:rFonts w:ascii="Times New Roman" w:hAnsi="Times New Roman"/>
        </w:rPr>
      </w:pPr>
      <w:hyperlink r:id="rId17" w:history="1">
        <w:r w:rsidR="0054359B" w:rsidRPr="00E54C49">
          <w:rPr>
            <w:rStyle w:val="Hyperlink"/>
            <w:rFonts w:ascii="Times New Roman" w:hAnsi="Times New Roman"/>
          </w:rPr>
          <w:t>climatechangereview@environment.gov.au</w:t>
        </w:r>
      </w:hyperlink>
      <w:r w:rsidR="0054359B">
        <w:rPr>
          <w:rFonts w:ascii="Times New Roman" w:hAnsi="Times New Roman"/>
        </w:rPr>
        <w:t xml:space="preserve"> </w:t>
      </w:r>
    </w:p>
    <w:p w14:paraId="4C69F76C" w14:textId="77777777" w:rsidR="0054359B" w:rsidRPr="00F711DF" w:rsidRDefault="0054359B" w:rsidP="0054359B">
      <w:pPr>
        <w:spacing w:before="100" w:after="100" w:line="276" w:lineRule="auto"/>
        <w:rPr>
          <w:rFonts w:ascii="Times New Roman" w:hAnsi="Times New Roman"/>
        </w:rPr>
      </w:pPr>
    </w:p>
    <w:p w14:paraId="7818D6B0" w14:textId="405754CF" w:rsidR="00374F9F" w:rsidRPr="00F711DF" w:rsidRDefault="0054359B" w:rsidP="00F83992">
      <w:pPr>
        <w:spacing w:before="100" w:after="100" w:line="276" w:lineRule="auto"/>
        <w:rPr>
          <w:rFonts w:ascii="Times New Roman" w:hAnsi="Times New Roman"/>
        </w:rPr>
      </w:pPr>
      <w:r>
        <w:rPr>
          <w:rFonts w:ascii="Times New Roman" w:hAnsi="Times New Roman"/>
        </w:rPr>
        <w:t>5</w:t>
      </w:r>
      <w:r w:rsidRPr="0054359B">
        <w:rPr>
          <w:rFonts w:ascii="Times New Roman" w:hAnsi="Times New Roman"/>
          <w:vertAlign w:val="superscript"/>
        </w:rPr>
        <w:t>th</w:t>
      </w:r>
      <w:r>
        <w:rPr>
          <w:rFonts w:ascii="Times New Roman" w:hAnsi="Times New Roman"/>
        </w:rPr>
        <w:t xml:space="preserve"> May 2017</w:t>
      </w:r>
    </w:p>
    <w:p w14:paraId="6BF1179E" w14:textId="77777777" w:rsidR="00FE1756" w:rsidRPr="00F711DF" w:rsidRDefault="00FE1756" w:rsidP="00F83992">
      <w:pPr>
        <w:spacing w:before="100" w:after="100" w:line="276" w:lineRule="auto"/>
        <w:rPr>
          <w:rFonts w:ascii="Times New Roman" w:hAnsi="Times New Roman"/>
        </w:rPr>
      </w:pPr>
    </w:p>
    <w:p w14:paraId="1B240801" w14:textId="3334BE9C" w:rsidR="000729DC" w:rsidRPr="00F711DF" w:rsidRDefault="00FE1756" w:rsidP="00F83992">
      <w:pPr>
        <w:spacing w:before="100" w:after="100" w:line="276" w:lineRule="auto"/>
        <w:rPr>
          <w:rFonts w:ascii="Times New Roman" w:hAnsi="Times New Roman"/>
        </w:rPr>
      </w:pPr>
      <w:r w:rsidRPr="00F711DF">
        <w:rPr>
          <w:rFonts w:ascii="Times New Roman" w:hAnsi="Times New Roman"/>
        </w:rPr>
        <w:t xml:space="preserve">Dear </w:t>
      </w:r>
      <w:r w:rsidR="00574BA1">
        <w:rPr>
          <w:rFonts w:ascii="Times New Roman" w:hAnsi="Times New Roman"/>
        </w:rPr>
        <w:t>Sir/Madam</w:t>
      </w:r>
    </w:p>
    <w:p w14:paraId="3A2E9089" w14:textId="66A56783" w:rsidR="000729DC" w:rsidRPr="002C5B4D" w:rsidRDefault="00574BA1" w:rsidP="002C5B4D">
      <w:pPr>
        <w:spacing w:before="100" w:after="100" w:line="276" w:lineRule="auto"/>
        <w:jc w:val="center"/>
        <w:rPr>
          <w:rFonts w:ascii="Times New Roman" w:hAnsi="Times New Roman"/>
          <w:b/>
        </w:rPr>
      </w:pPr>
      <w:r w:rsidRPr="00574BA1">
        <w:rPr>
          <w:rFonts w:ascii="Times New Roman" w:hAnsi="Times New Roman"/>
          <w:b/>
        </w:rPr>
        <w:t xml:space="preserve">Re: </w:t>
      </w:r>
      <w:r w:rsidR="0054359B">
        <w:rPr>
          <w:rFonts w:ascii="Times New Roman" w:hAnsi="Times New Roman"/>
          <w:b/>
        </w:rPr>
        <w:t>Federal Review of Australia’s Climate Change Policies</w:t>
      </w:r>
    </w:p>
    <w:p w14:paraId="276B9EE1" w14:textId="61870BD6" w:rsidR="00FE1756" w:rsidRPr="00F711DF" w:rsidRDefault="002C5B4D" w:rsidP="0068571F">
      <w:pPr>
        <w:spacing w:before="100" w:after="100" w:line="276" w:lineRule="auto"/>
        <w:rPr>
          <w:rFonts w:ascii="Times New Roman" w:hAnsi="Times New Roman"/>
        </w:rPr>
      </w:pPr>
      <w:r>
        <w:rPr>
          <w:rFonts w:ascii="Times New Roman" w:hAnsi="Times New Roman"/>
        </w:rPr>
        <w:t>The</w:t>
      </w:r>
      <w:r w:rsidR="00D65D1A" w:rsidRPr="00F711DF">
        <w:rPr>
          <w:rFonts w:ascii="Times New Roman" w:hAnsi="Times New Roman"/>
        </w:rPr>
        <w:t xml:space="preserve"> Northern Allian</w:t>
      </w:r>
      <w:r w:rsidR="002E3D7B">
        <w:rPr>
          <w:rFonts w:ascii="Times New Roman" w:hAnsi="Times New Roman"/>
        </w:rPr>
        <w:t>ce for Greenhouse Action (NAGA)</w:t>
      </w:r>
      <w:r w:rsidR="00D65D1A" w:rsidRPr="00F711DF">
        <w:rPr>
          <w:rFonts w:ascii="Times New Roman" w:hAnsi="Times New Roman"/>
        </w:rPr>
        <w:t xml:space="preserve"> </w:t>
      </w:r>
      <w:r>
        <w:rPr>
          <w:rFonts w:ascii="Times New Roman" w:hAnsi="Times New Roman"/>
        </w:rPr>
        <w:t xml:space="preserve">is pleased to take this opportunity to submit a response to the </w:t>
      </w:r>
      <w:r w:rsidR="0054359B">
        <w:rPr>
          <w:rFonts w:ascii="Times New Roman" w:hAnsi="Times New Roman"/>
        </w:rPr>
        <w:t xml:space="preserve">Federal Review of Australia’s Climate Change Policies. </w:t>
      </w:r>
      <w:r w:rsidR="00574BA1">
        <w:rPr>
          <w:rFonts w:ascii="Times New Roman" w:hAnsi="Times New Roman"/>
        </w:rPr>
        <w:t xml:space="preserve"> </w:t>
      </w:r>
    </w:p>
    <w:p w14:paraId="37CA4931" w14:textId="728106A5" w:rsidR="001E36D7" w:rsidRDefault="00A674B0" w:rsidP="0054359B">
      <w:pPr>
        <w:spacing w:before="100" w:after="100" w:line="276" w:lineRule="auto"/>
        <w:rPr>
          <w:rFonts w:ascii="Times New Roman" w:hAnsi="Times New Roman"/>
        </w:rPr>
      </w:pPr>
      <w:r>
        <w:rPr>
          <w:rFonts w:ascii="Times New Roman" w:hAnsi="Times New Roman"/>
        </w:rPr>
        <w:t xml:space="preserve">NAGA is a network of nine </w:t>
      </w:r>
      <w:r w:rsidRPr="00F711DF">
        <w:rPr>
          <w:rFonts w:ascii="Times New Roman" w:hAnsi="Times New Roman"/>
        </w:rPr>
        <w:t xml:space="preserve">northern </w:t>
      </w:r>
      <w:r w:rsidR="0068571F">
        <w:rPr>
          <w:rFonts w:ascii="Times New Roman" w:hAnsi="Times New Roman"/>
        </w:rPr>
        <w:t xml:space="preserve">Melbourne </w:t>
      </w:r>
      <w:r>
        <w:rPr>
          <w:rFonts w:ascii="Times New Roman" w:hAnsi="Times New Roman"/>
        </w:rPr>
        <w:t>metropolitan councils</w:t>
      </w:r>
      <w:r w:rsidR="000729DC" w:rsidRPr="00F711DF">
        <w:rPr>
          <w:rFonts w:ascii="Times New Roman" w:hAnsi="Times New Roman"/>
        </w:rPr>
        <w:t xml:space="preserve"> </w:t>
      </w:r>
      <w:r>
        <w:rPr>
          <w:rFonts w:ascii="Times New Roman" w:hAnsi="Times New Roman"/>
        </w:rPr>
        <w:t xml:space="preserve">working to </w:t>
      </w:r>
      <w:r w:rsidRPr="00F711DF">
        <w:rPr>
          <w:rFonts w:ascii="Times New Roman" w:hAnsi="Times New Roman"/>
        </w:rPr>
        <w:t xml:space="preserve">achieve significant emissions abatement and energy cost savings by delivering effective programs and leveraging local government, community and business action.  </w:t>
      </w:r>
      <w:r>
        <w:rPr>
          <w:rFonts w:ascii="Times New Roman" w:hAnsi="Times New Roman"/>
        </w:rPr>
        <w:t>Our</w:t>
      </w:r>
      <w:r w:rsidR="000729DC" w:rsidRPr="00F711DF">
        <w:rPr>
          <w:rFonts w:ascii="Times New Roman" w:hAnsi="Times New Roman"/>
        </w:rPr>
        <w:t xml:space="preserve"> </w:t>
      </w:r>
      <w:r w:rsidR="00CB00AB" w:rsidRPr="00F711DF">
        <w:rPr>
          <w:rFonts w:ascii="Times New Roman" w:hAnsi="Times New Roman"/>
        </w:rPr>
        <w:t xml:space="preserve">council </w:t>
      </w:r>
      <w:r w:rsidR="000729DC" w:rsidRPr="00F711DF">
        <w:rPr>
          <w:rFonts w:ascii="Times New Roman" w:hAnsi="Times New Roman"/>
        </w:rPr>
        <w:t>members</w:t>
      </w:r>
      <w:r w:rsidR="00CB00AB" w:rsidRPr="00F711DF">
        <w:rPr>
          <w:rFonts w:ascii="Times New Roman" w:hAnsi="Times New Roman"/>
        </w:rPr>
        <w:t xml:space="preserve"> include</w:t>
      </w:r>
      <w:r w:rsidR="001E36D7">
        <w:rPr>
          <w:rFonts w:ascii="Times New Roman" w:hAnsi="Times New Roman"/>
        </w:rPr>
        <w:t xml:space="preserve"> the cities of </w:t>
      </w:r>
      <w:proofErr w:type="spellStart"/>
      <w:r w:rsidR="00CB00AB" w:rsidRPr="00F711DF">
        <w:rPr>
          <w:rFonts w:ascii="Times New Roman" w:hAnsi="Times New Roman"/>
        </w:rPr>
        <w:t>Banyule</w:t>
      </w:r>
      <w:proofErr w:type="spellEnd"/>
      <w:r w:rsidR="00CB00AB" w:rsidRPr="00F711DF">
        <w:rPr>
          <w:rFonts w:ascii="Times New Roman" w:hAnsi="Times New Roman"/>
        </w:rPr>
        <w:t xml:space="preserve">, </w:t>
      </w:r>
      <w:proofErr w:type="spellStart"/>
      <w:r w:rsidR="00CB00AB" w:rsidRPr="00F711DF">
        <w:rPr>
          <w:rFonts w:ascii="Times New Roman" w:hAnsi="Times New Roman"/>
        </w:rPr>
        <w:t>Darebin</w:t>
      </w:r>
      <w:proofErr w:type="spellEnd"/>
      <w:r w:rsidR="00CB00AB" w:rsidRPr="00F711DF">
        <w:rPr>
          <w:rFonts w:ascii="Times New Roman" w:hAnsi="Times New Roman"/>
        </w:rPr>
        <w:t xml:space="preserve">, </w:t>
      </w:r>
      <w:r w:rsidR="001E36D7">
        <w:rPr>
          <w:rFonts w:ascii="Times New Roman" w:hAnsi="Times New Roman"/>
        </w:rPr>
        <w:t>H</w:t>
      </w:r>
      <w:r w:rsidR="0068571F">
        <w:rPr>
          <w:rFonts w:ascii="Times New Roman" w:hAnsi="Times New Roman"/>
        </w:rPr>
        <w:t xml:space="preserve">ume, </w:t>
      </w:r>
      <w:proofErr w:type="spellStart"/>
      <w:r w:rsidR="0068571F">
        <w:rPr>
          <w:rFonts w:ascii="Times New Roman" w:hAnsi="Times New Roman"/>
        </w:rPr>
        <w:t>Manningham</w:t>
      </w:r>
      <w:proofErr w:type="spellEnd"/>
      <w:r w:rsidR="001E36D7">
        <w:rPr>
          <w:rFonts w:ascii="Times New Roman" w:hAnsi="Times New Roman"/>
        </w:rPr>
        <w:t>,</w:t>
      </w:r>
      <w:r w:rsidR="00CB00AB" w:rsidRPr="00F711DF">
        <w:rPr>
          <w:rFonts w:ascii="Times New Roman" w:hAnsi="Times New Roman"/>
        </w:rPr>
        <w:t xml:space="preserve"> </w:t>
      </w:r>
      <w:proofErr w:type="spellStart"/>
      <w:r w:rsidR="001E36D7" w:rsidRPr="00F711DF">
        <w:rPr>
          <w:rFonts w:ascii="Times New Roman" w:hAnsi="Times New Roman"/>
        </w:rPr>
        <w:t>Whittl</w:t>
      </w:r>
      <w:r w:rsidR="001E36D7">
        <w:rPr>
          <w:rFonts w:ascii="Times New Roman" w:hAnsi="Times New Roman"/>
        </w:rPr>
        <w:t>esea</w:t>
      </w:r>
      <w:proofErr w:type="spellEnd"/>
      <w:r w:rsidR="001E36D7">
        <w:rPr>
          <w:rFonts w:ascii="Times New Roman" w:hAnsi="Times New Roman"/>
        </w:rPr>
        <w:t xml:space="preserve">, </w:t>
      </w:r>
      <w:proofErr w:type="spellStart"/>
      <w:r w:rsidR="001E36D7" w:rsidRPr="00F711DF">
        <w:rPr>
          <w:rFonts w:ascii="Times New Roman" w:hAnsi="Times New Roman"/>
        </w:rPr>
        <w:t>Yarra</w:t>
      </w:r>
      <w:proofErr w:type="spellEnd"/>
      <w:r w:rsidR="001E36D7">
        <w:rPr>
          <w:rFonts w:ascii="Times New Roman" w:hAnsi="Times New Roman"/>
        </w:rPr>
        <w:t>,</w:t>
      </w:r>
      <w:r w:rsidR="001E36D7" w:rsidRPr="00F711DF">
        <w:rPr>
          <w:rFonts w:ascii="Times New Roman" w:hAnsi="Times New Roman"/>
        </w:rPr>
        <w:t xml:space="preserve"> </w:t>
      </w:r>
      <w:r w:rsidR="0068571F">
        <w:rPr>
          <w:rFonts w:ascii="Times New Roman" w:hAnsi="Times New Roman"/>
        </w:rPr>
        <w:t>Melbourne, Moreland</w:t>
      </w:r>
      <w:r w:rsidR="00CB00AB" w:rsidRPr="00F711DF">
        <w:rPr>
          <w:rFonts w:ascii="Times New Roman" w:hAnsi="Times New Roman"/>
        </w:rPr>
        <w:t xml:space="preserve">, Moreland Energy Foundation Limited, </w:t>
      </w:r>
      <w:r w:rsidR="001E36D7">
        <w:rPr>
          <w:rFonts w:ascii="Times New Roman" w:hAnsi="Times New Roman"/>
        </w:rPr>
        <w:t>and Nillumbik Shire Council</w:t>
      </w:r>
      <w:r w:rsidR="00CB00AB" w:rsidRPr="00F711DF">
        <w:rPr>
          <w:rFonts w:ascii="Times New Roman" w:hAnsi="Times New Roman"/>
        </w:rPr>
        <w:t xml:space="preserve">.  </w:t>
      </w:r>
      <w:r w:rsidR="000729DC" w:rsidRPr="00F711DF">
        <w:rPr>
          <w:rFonts w:ascii="Times New Roman" w:hAnsi="Times New Roman"/>
        </w:rPr>
        <w:t xml:space="preserve">NAGA formed in 2002 </w:t>
      </w:r>
      <w:r w:rsidR="00CB00AB" w:rsidRPr="00F711DF">
        <w:rPr>
          <w:rFonts w:ascii="Times New Roman" w:hAnsi="Times New Roman"/>
        </w:rPr>
        <w:t>to</w:t>
      </w:r>
      <w:r w:rsidR="000729DC" w:rsidRPr="00F711DF">
        <w:rPr>
          <w:rFonts w:ascii="Times New Roman" w:hAnsi="Times New Roman"/>
        </w:rPr>
        <w:t xml:space="preserve"> share information, coordinate emission reduction activities and cooperate on research and develop innovative projects. </w:t>
      </w:r>
    </w:p>
    <w:p w14:paraId="1A38CF64" w14:textId="1EE56178" w:rsidR="0054359B" w:rsidRDefault="0054359B" w:rsidP="0054359B">
      <w:pPr>
        <w:spacing w:before="100" w:after="100" w:line="276" w:lineRule="auto"/>
        <w:rPr>
          <w:rFonts w:ascii="Times New Roman" w:hAnsi="Times New Roman"/>
        </w:rPr>
      </w:pPr>
      <w:r w:rsidRPr="0054359B">
        <w:rPr>
          <w:rFonts w:ascii="Times New Roman" w:hAnsi="Times New Roman"/>
        </w:rPr>
        <w:t>The Northern Alliance for Greenhouse Action (NAGA) supports a strong and effective</w:t>
      </w:r>
      <w:r>
        <w:rPr>
          <w:rFonts w:ascii="Times New Roman" w:hAnsi="Times New Roman"/>
        </w:rPr>
        <w:t xml:space="preserve"> suite of federal climate </w:t>
      </w:r>
      <w:proofErr w:type="gramStart"/>
      <w:r>
        <w:rPr>
          <w:rFonts w:ascii="Times New Roman" w:hAnsi="Times New Roman"/>
        </w:rPr>
        <w:t>change policies that reflect</w:t>
      </w:r>
      <w:r w:rsidRPr="0054359B">
        <w:rPr>
          <w:rFonts w:ascii="Times New Roman" w:hAnsi="Times New Roman"/>
        </w:rPr>
        <w:t xml:space="preserve"> the latest climate science and that underpins</w:t>
      </w:r>
      <w:proofErr w:type="gramEnd"/>
      <w:r w:rsidRPr="0054359B">
        <w:rPr>
          <w:rFonts w:ascii="Times New Roman" w:hAnsi="Times New Roman"/>
        </w:rPr>
        <w:t xml:space="preserve"> the necessary and urgent transition to a</w:t>
      </w:r>
      <w:r>
        <w:rPr>
          <w:rFonts w:ascii="Times New Roman" w:hAnsi="Times New Roman"/>
        </w:rPr>
        <w:t xml:space="preserve"> zero</w:t>
      </w:r>
      <w:r w:rsidRPr="0054359B">
        <w:rPr>
          <w:rFonts w:ascii="Times New Roman" w:hAnsi="Times New Roman"/>
        </w:rPr>
        <w:t>-carbon economy.</w:t>
      </w:r>
    </w:p>
    <w:p w14:paraId="5F146F0E" w14:textId="77777777" w:rsidR="0054359B" w:rsidRPr="0054359B" w:rsidRDefault="0054359B" w:rsidP="0054359B">
      <w:pPr>
        <w:spacing w:before="100" w:after="100" w:line="276" w:lineRule="auto"/>
        <w:rPr>
          <w:rFonts w:ascii="Times New Roman" w:hAnsi="Times New Roman"/>
        </w:rPr>
      </w:pPr>
      <w:r w:rsidRPr="0054359B">
        <w:rPr>
          <w:rFonts w:ascii="Times New Roman" w:hAnsi="Times New Roman"/>
        </w:rPr>
        <w:t xml:space="preserve">Given the critical importance of climate change and the complexity of developing policies that are effective and efficient, it must be said that the brevity of the discussion paper – 38 pages in total including cover pages, contents pages, appendices and multiple pages of repeated text – is striking. The paper provides a brief </w:t>
      </w:r>
      <w:proofErr w:type="gramStart"/>
      <w:r w:rsidRPr="0054359B">
        <w:rPr>
          <w:rFonts w:ascii="Times New Roman" w:hAnsi="Times New Roman"/>
        </w:rPr>
        <w:t>high level</w:t>
      </w:r>
      <w:proofErr w:type="gramEnd"/>
      <w:r w:rsidRPr="0054359B">
        <w:rPr>
          <w:rFonts w:ascii="Times New Roman" w:hAnsi="Times New Roman"/>
        </w:rPr>
        <w:t xml:space="preserve"> overview of Australia’s key emissions reduction policies and then notes the emissions contributions of five “sectors”.  Missing altogether is any detailed discussion or analysis of the relative merits of current or possible policy settings, let alone any consideration of whether Australia’s emissions reduction target of 26 to 28 per cent below 2005 levels by 2030 is appropriate.</w:t>
      </w:r>
    </w:p>
    <w:p w14:paraId="60D8EE51" w14:textId="423DC7A9" w:rsidR="0054359B" w:rsidRDefault="0054359B" w:rsidP="0054359B">
      <w:pPr>
        <w:spacing w:before="100" w:after="100" w:line="276" w:lineRule="auto"/>
        <w:rPr>
          <w:rFonts w:ascii="Times New Roman" w:hAnsi="Times New Roman"/>
        </w:rPr>
      </w:pPr>
      <w:r w:rsidRPr="0054359B">
        <w:rPr>
          <w:rFonts w:ascii="Times New Roman" w:hAnsi="Times New Roman"/>
        </w:rPr>
        <w:t>Notwithstan</w:t>
      </w:r>
      <w:r w:rsidR="00833BC2">
        <w:rPr>
          <w:rFonts w:ascii="Times New Roman" w:hAnsi="Times New Roman"/>
        </w:rPr>
        <w:t>d</w:t>
      </w:r>
      <w:r w:rsidRPr="0054359B">
        <w:rPr>
          <w:rFonts w:ascii="Times New Roman" w:hAnsi="Times New Roman"/>
        </w:rPr>
        <w:t xml:space="preserve">ing the clear inadequacies of the discussion paper, and the questions this raises about how seriously the government is taking the review, </w:t>
      </w:r>
      <w:r w:rsidR="00833BC2">
        <w:rPr>
          <w:rFonts w:ascii="Times New Roman" w:hAnsi="Times New Roman"/>
        </w:rPr>
        <w:t xml:space="preserve">NAGA </w:t>
      </w:r>
      <w:r w:rsidRPr="0054359B">
        <w:rPr>
          <w:rFonts w:ascii="Times New Roman" w:hAnsi="Times New Roman"/>
        </w:rPr>
        <w:t>appreci</w:t>
      </w:r>
      <w:r w:rsidR="00833BC2">
        <w:rPr>
          <w:rFonts w:ascii="Times New Roman" w:hAnsi="Times New Roman"/>
        </w:rPr>
        <w:t>ates the opportunity to make a submission on behalf of our member councils</w:t>
      </w:r>
      <w:r w:rsidRPr="0054359B">
        <w:rPr>
          <w:rFonts w:ascii="Times New Roman" w:hAnsi="Times New Roman"/>
        </w:rPr>
        <w:t>.</w:t>
      </w:r>
    </w:p>
    <w:p w14:paraId="7D3B7C54" w14:textId="6291C9CD" w:rsidR="0054359B" w:rsidRPr="00833BC2" w:rsidRDefault="00833BC2" w:rsidP="00833BC2">
      <w:pPr>
        <w:pStyle w:val="ListParagraph"/>
        <w:numPr>
          <w:ilvl w:val="0"/>
          <w:numId w:val="28"/>
        </w:numPr>
        <w:spacing w:before="100" w:after="100" w:line="276" w:lineRule="auto"/>
        <w:rPr>
          <w:rFonts w:ascii="Times New Roman" w:hAnsi="Times New Roman"/>
          <w:b/>
        </w:rPr>
      </w:pPr>
      <w:r w:rsidRPr="00833BC2">
        <w:rPr>
          <w:rFonts w:ascii="Times New Roman" w:hAnsi="Times New Roman"/>
          <w:b/>
        </w:rPr>
        <w:t xml:space="preserve">Current policies are not adequate  </w:t>
      </w:r>
    </w:p>
    <w:p w14:paraId="4D1311E1" w14:textId="6AA82832" w:rsidR="00833BC2" w:rsidRPr="00833BC2" w:rsidRDefault="00833BC2" w:rsidP="00833BC2">
      <w:pPr>
        <w:spacing w:before="100" w:after="100" w:line="276" w:lineRule="auto"/>
        <w:rPr>
          <w:rFonts w:ascii="Times New Roman" w:hAnsi="Times New Roman"/>
        </w:rPr>
      </w:pPr>
      <w:r w:rsidRPr="00833BC2">
        <w:rPr>
          <w:rFonts w:ascii="Times New Roman" w:hAnsi="Times New Roman"/>
        </w:rPr>
        <w:t xml:space="preserve">NAGA considers the current direct action policy is inadequate and inefficient as a mechanism to deliver substantial emissions reductions and prepare our nation for a low carbon future. It is essential that any well-designed scheme adequately incentivises reductions across the entire economy, with the ability to ratchet this down over time, in order to effectively act as an economy-wide cap on pollution. </w:t>
      </w:r>
    </w:p>
    <w:p w14:paraId="57216E44" w14:textId="5B5A605C" w:rsidR="00833BC2" w:rsidRPr="00833BC2" w:rsidRDefault="00573954" w:rsidP="00833BC2">
      <w:pPr>
        <w:pStyle w:val="ListParagraph"/>
        <w:numPr>
          <w:ilvl w:val="0"/>
          <w:numId w:val="28"/>
        </w:numPr>
        <w:spacing w:before="100" w:after="100" w:line="276" w:lineRule="auto"/>
        <w:rPr>
          <w:rFonts w:ascii="Times New Roman" w:hAnsi="Times New Roman"/>
          <w:b/>
        </w:rPr>
      </w:pPr>
      <w:r>
        <w:rPr>
          <w:rFonts w:ascii="Times New Roman" w:hAnsi="Times New Roman"/>
          <w:b/>
        </w:rPr>
        <w:t>A strong emissions reduction target of 40% by 2025, 65-75% by 2035 and zero net emissions by 2050</w:t>
      </w:r>
    </w:p>
    <w:p w14:paraId="458B8ECE" w14:textId="1CFCA2FD" w:rsidR="00573954" w:rsidRDefault="00573954" w:rsidP="005857C7">
      <w:pPr>
        <w:spacing w:before="100" w:after="100" w:line="276" w:lineRule="auto"/>
        <w:rPr>
          <w:rFonts w:ascii="Times New Roman" w:hAnsi="Times New Roman"/>
        </w:rPr>
      </w:pPr>
      <w:r w:rsidRPr="00573954">
        <w:rPr>
          <w:rFonts w:ascii="Times New Roman" w:hAnsi="Times New Roman"/>
        </w:rPr>
        <w:lastRenderedPageBreak/>
        <w:t xml:space="preserve">The discussion paper notes that Australia has committed to considering a potential long-term emissions reduction goal for Australia beyond 2030. It asks what factors should be considered in this process. We consider that the most important determinant of a </w:t>
      </w:r>
      <w:proofErr w:type="gramStart"/>
      <w:r w:rsidRPr="00573954">
        <w:rPr>
          <w:rFonts w:ascii="Times New Roman" w:hAnsi="Times New Roman"/>
        </w:rPr>
        <w:t>long term</w:t>
      </w:r>
      <w:proofErr w:type="gramEnd"/>
      <w:r w:rsidRPr="00573954">
        <w:rPr>
          <w:rFonts w:ascii="Times New Roman" w:hAnsi="Times New Roman"/>
        </w:rPr>
        <w:t xml:space="preserve"> emissions target needs to be the science. </w:t>
      </w:r>
      <w:r w:rsidR="00833BC2">
        <w:rPr>
          <w:rFonts w:ascii="Times New Roman" w:hAnsi="Times New Roman"/>
        </w:rPr>
        <w:t>We support a</w:t>
      </w:r>
      <w:r w:rsidR="00833BC2" w:rsidRPr="00833BC2">
        <w:rPr>
          <w:rFonts w:ascii="Times New Roman" w:hAnsi="Times New Roman"/>
        </w:rPr>
        <w:t xml:space="preserve"> strong ambitious greenhouse gas reduction target that is consistent with the need to limit an increase in global temperatures to</w:t>
      </w:r>
      <w:r>
        <w:rPr>
          <w:rFonts w:ascii="Times New Roman" w:hAnsi="Times New Roman"/>
        </w:rPr>
        <w:t xml:space="preserve"> </w:t>
      </w:r>
      <w:r w:rsidR="00833BC2">
        <w:rPr>
          <w:rFonts w:ascii="Times New Roman" w:hAnsi="Times New Roman"/>
        </w:rPr>
        <w:t xml:space="preserve">below </w:t>
      </w:r>
      <w:r w:rsidRPr="00573954">
        <w:rPr>
          <w:rFonts w:ascii="Times New Roman" w:hAnsi="Times New Roman"/>
        </w:rPr>
        <w:t>2°C</w:t>
      </w:r>
      <w:r>
        <w:rPr>
          <w:rFonts w:ascii="Times New Roman" w:hAnsi="Times New Roman"/>
        </w:rPr>
        <w:t xml:space="preserve"> and a goal of below 1.5</w:t>
      </w:r>
      <w:r w:rsidRPr="00573954">
        <w:rPr>
          <w:rFonts w:ascii="Times New Roman" w:hAnsi="Times New Roman"/>
        </w:rPr>
        <w:t>°C</w:t>
      </w:r>
      <w:r>
        <w:rPr>
          <w:rFonts w:ascii="Times New Roman" w:hAnsi="Times New Roman"/>
        </w:rPr>
        <w:t xml:space="preserve"> </w:t>
      </w:r>
      <w:r w:rsidR="00833BC2" w:rsidRPr="00833BC2">
        <w:rPr>
          <w:rFonts w:ascii="Times New Roman" w:hAnsi="Times New Roman"/>
        </w:rPr>
        <w:t>as a</w:t>
      </w:r>
      <w:r w:rsidR="00833BC2">
        <w:rPr>
          <w:rFonts w:ascii="Times New Roman" w:hAnsi="Times New Roman"/>
        </w:rPr>
        <w:t>greed to by the Paris Agreement</w:t>
      </w:r>
      <w:r w:rsidR="00833BC2" w:rsidRPr="00833BC2">
        <w:rPr>
          <w:rFonts w:ascii="Times New Roman" w:hAnsi="Times New Roman"/>
        </w:rPr>
        <w:t xml:space="preserve">. </w:t>
      </w:r>
    </w:p>
    <w:p w14:paraId="40C00C77" w14:textId="0A1EA83B" w:rsidR="005857C7" w:rsidRDefault="00833BC2" w:rsidP="005857C7">
      <w:pPr>
        <w:spacing w:before="100" w:after="100" w:line="276" w:lineRule="auto"/>
        <w:rPr>
          <w:rFonts w:ascii="Times New Roman" w:hAnsi="Times New Roman"/>
        </w:rPr>
      </w:pPr>
      <w:r w:rsidRPr="00833BC2">
        <w:rPr>
          <w:rFonts w:ascii="Times New Roman" w:hAnsi="Times New Roman"/>
        </w:rPr>
        <w:t xml:space="preserve">Specifically, NAGA recommends a target of approximately 40% below a 2000 baseline by 2025, and a target of 65-75% below the 2000 baseline by 2035. </w:t>
      </w:r>
      <w:r w:rsidR="00573954" w:rsidRPr="00573954">
        <w:rPr>
          <w:rFonts w:ascii="Times New Roman" w:hAnsi="Times New Roman"/>
        </w:rPr>
        <w:t xml:space="preserve">This is a realistic and equitable target and is broadly in line with </w:t>
      </w:r>
      <w:r w:rsidR="00573954">
        <w:rPr>
          <w:rFonts w:ascii="Times New Roman" w:hAnsi="Times New Roman"/>
        </w:rPr>
        <w:t>the previous</w:t>
      </w:r>
      <w:r w:rsidR="00573954" w:rsidRPr="00573954">
        <w:rPr>
          <w:rFonts w:ascii="Times New Roman" w:hAnsi="Times New Roman"/>
        </w:rPr>
        <w:t xml:space="preserve"> Special Review report fro</w:t>
      </w:r>
      <w:r w:rsidR="00573954">
        <w:rPr>
          <w:rFonts w:ascii="Times New Roman" w:hAnsi="Times New Roman"/>
        </w:rPr>
        <w:t>m the Climate Change Authority</w:t>
      </w:r>
      <w:r w:rsidR="000B2731">
        <w:rPr>
          <w:rFonts w:ascii="Times New Roman" w:hAnsi="Times New Roman"/>
        </w:rPr>
        <w:t xml:space="preserve"> (CCA) </w:t>
      </w:r>
      <w:r w:rsidR="00573954">
        <w:rPr>
          <w:rStyle w:val="FootnoteReference"/>
        </w:rPr>
        <w:footnoteReference w:id="2"/>
      </w:r>
      <w:r w:rsidR="00573954">
        <w:rPr>
          <w:rFonts w:ascii="Times New Roman" w:hAnsi="Times New Roman"/>
        </w:rPr>
        <w:t xml:space="preserve"> </w:t>
      </w:r>
      <w:r w:rsidR="00573954" w:rsidRPr="00573954">
        <w:rPr>
          <w:rFonts w:ascii="Times New Roman" w:hAnsi="Times New Roman"/>
        </w:rPr>
        <w:t>and previous recommendations in its Targets and Progress review</w:t>
      </w:r>
      <w:r w:rsidR="00573954">
        <w:rPr>
          <w:rFonts w:ascii="Times New Roman" w:hAnsi="Times New Roman"/>
        </w:rPr>
        <w:t>s</w:t>
      </w:r>
      <w:r w:rsidR="00573954">
        <w:rPr>
          <w:rStyle w:val="FootnoteReference"/>
        </w:rPr>
        <w:footnoteReference w:id="3"/>
      </w:r>
      <w:r w:rsidR="00573954">
        <w:rPr>
          <w:rFonts w:ascii="Times New Roman" w:hAnsi="Times New Roman"/>
        </w:rPr>
        <w:t xml:space="preserve">. </w:t>
      </w:r>
      <w:r w:rsidR="00573954" w:rsidRPr="00573954">
        <w:rPr>
          <w:rFonts w:ascii="Times New Roman" w:hAnsi="Times New Roman"/>
        </w:rPr>
        <w:t xml:space="preserve"> </w:t>
      </w:r>
      <w:r w:rsidRPr="00833BC2">
        <w:rPr>
          <w:rFonts w:ascii="Times New Roman" w:hAnsi="Times New Roman"/>
        </w:rPr>
        <w:t xml:space="preserve">The current target is woefully inadequate and should be immediately strengthened </w:t>
      </w:r>
      <w:r>
        <w:rPr>
          <w:rFonts w:ascii="Times New Roman" w:hAnsi="Times New Roman"/>
        </w:rPr>
        <w:t>to reflect our responsibilities and obligations as part of the Paris Agreement.</w:t>
      </w:r>
      <w:r w:rsidR="005857C7">
        <w:rPr>
          <w:rFonts w:ascii="Times New Roman" w:hAnsi="Times New Roman"/>
        </w:rPr>
        <w:t xml:space="preserve"> </w:t>
      </w:r>
      <w:r w:rsidR="00573954" w:rsidRPr="00573954">
        <w:rPr>
          <w:rFonts w:ascii="Times New Roman" w:hAnsi="Times New Roman"/>
        </w:rPr>
        <w:t xml:space="preserve">For Australia, to fairly contribute to the target of restricting warming to </w:t>
      </w:r>
      <w:r w:rsidR="00573954">
        <w:rPr>
          <w:rFonts w:ascii="Times New Roman" w:hAnsi="Times New Roman"/>
        </w:rPr>
        <w:t>below 2°C and strive for 1.5</w:t>
      </w:r>
      <w:r w:rsidR="00573954" w:rsidRPr="00573954">
        <w:rPr>
          <w:rFonts w:ascii="Times New Roman" w:hAnsi="Times New Roman"/>
        </w:rPr>
        <w:t>°C total emissions need to be limited to around 8-11 billion tonnes between 2013-2050</w:t>
      </w:r>
      <w:r w:rsidR="00573954">
        <w:rPr>
          <w:rStyle w:val="FootnoteReference"/>
        </w:rPr>
        <w:footnoteReference w:id="4"/>
      </w:r>
      <w:proofErr w:type="gramStart"/>
      <w:r w:rsidR="00573954" w:rsidRPr="00573954">
        <w:rPr>
          <w:rFonts w:ascii="Times New Roman" w:hAnsi="Times New Roman"/>
        </w:rPr>
        <w:t xml:space="preserve"> .</w:t>
      </w:r>
      <w:proofErr w:type="gramEnd"/>
      <w:r w:rsidR="00573954" w:rsidRPr="00573954">
        <w:rPr>
          <w:rFonts w:ascii="Times New Roman" w:hAnsi="Times New Roman"/>
        </w:rPr>
        <w:t xml:space="preserve"> On current emissions levels this</w:t>
      </w:r>
      <w:r w:rsidR="00573954">
        <w:rPr>
          <w:rFonts w:ascii="Times New Roman" w:hAnsi="Times New Roman"/>
        </w:rPr>
        <w:t xml:space="preserve"> entire</w:t>
      </w:r>
      <w:r w:rsidR="00573954" w:rsidRPr="00573954">
        <w:rPr>
          <w:rFonts w:ascii="Times New Roman" w:hAnsi="Times New Roman"/>
        </w:rPr>
        <w:t xml:space="preserve"> budget would be exhausted by 2030-2035.</w:t>
      </w:r>
    </w:p>
    <w:p w14:paraId="34F036EE" w14:textId="1081C75B" w:rsidR="00833BC2" w:rsidRDefault="00573954" w:rsidP="0054359B">
      <w:pPr>
        <w:spacing w:before="100" w:after="100" w:line="276" w:lineRule="auto"/>
        <w:rPr>
          <w:rFonts w:ascii="Times New Roman" w:hAnsi="Times New Roman"/>
        </w:rPr>
      </w:pPr>
      <w:r w:rsidRPr="00573954">
        <w:rPr>
          <w:rFonts w:ascii="Times New Roman" w:hAnsi="Times New Roman"/>
        </w:rPr>
        <w:t xml:space="preserve">Providing for 2035 </w:t>
      </w:r>
      <w:r>
        <w:rPr>
          <w:rFonts w:ascii="Times New Roman" w:hAnsi="Times New Roman"/>
        </w:rPr>
        <w:t xml:space="preserve">and 2050 </w:t>
      </w:r>
      <w:r w:rsidRPr="00573954">
        <w:rPr>
          <w:rFonts w:ascii="Times New Roman" w:hAnsi="Times New Roman"/>
        </w:rPr>
        <w:t>allows for longer term policy directions to be set. These should be possible to strengthen over time if circumst</w:t>
      </w:r>
      <w:r w:rsidR="000B2731">
        <w:rPr>
          <w:rFonts w:ascii="Times New Roman" w:hAnsi="Times New Roman"/>
        </w:rPr>
        <w:t xml:space="preserve">ances change, but not weaken. </w:t>
      </w:r>
      <w:r w:rsidR="000B2731" w:rsidRPr="000B2731">
        <w:rPr>
          <w:rFonts w:ascii="Times New Roman" w:hAnsi="Times New Roman"/>
        </w:rPr>
        <w:t xml:space="preserve">As well as adopting a </w:t>
      </w:r>
      <w:proofErr w:type="gramStart"/>
      <w:r w:rsidR="000B2731">
        <w:rPr>
          <w:rFonts w:ascii="Times New Roman" w:hAnsi="Times New Roman"/>
        </w:rPr>
        <w:t>shorter term</w:t>
      </w:r>
      <w:proofErr w:type="gramEnd"/>
      <w:r w:rsidR="000B2731">
        <w:rPr>
          <w:rFonts w:ascii="Times New Roman" w:hAnsi="Times New Roman"/>
        </w:rPr>
        <w:t xml:space="preserve"> target</w:t>
      </w:r>
      <w:r w:rsidR="000B2731" w:rsidRPr="000B2731">
        <w:rPr>
          <w:rFonts w:ascii="Times New Roman" w:hAnsi="Times New Roman"/>
        </w:rPr>
        <w:t>, an explicit date for decarbonisation will allow for long term direction in climate policy and guide investment decisions.  Decarbonisation would see Australia have zero net emissions, and would require ambitious energy efficiency, low carbon technology, electrification and fuel switching, as well as reduced non energy emissions in agriculture and industry. As above we recommend that Australia work towards 2050 as a date for decarbonisation, in line with the science and the recommendations of the CCA. A recent report by Climate Works has demonstrated the many economic opportunities for Australia in decarbonising the economy</w:t>
      </w:r>
      <w:r w:rsidR="000B2731">
        <w:rPr>
          <w:rStyle w:val="FootnoteReference"/>
        </w:rPr>
        <w:footnoteReference w:id="5"/>
      </w:r>
      <w:r w:rsidR="000B2731">
        <w:rPr>
          <w:rFonts w:ascii="Times New Roman" w:hAnsi="Times New Roman"/>
        </w:rPr>
        <w:t>.</w:t>
      </w:r>
    </w:p>
    <w:p w14:paraId="5874396B" w14:textId="216CBB82" w:rsidR="000B2731" w:rsidRPr="000B2731" w:rsidRDefault="000B2731" w:rsidP="000B2731">
      <w:pPr>
        <w:spacing w:before="100" w:after="100" w:line="276" w:lineRule="auto"/>
        <w:rPr>
          <w:rFonts w:ascii="Times New Roman" w:hAnsi="Times New Roman"/>
        </w:rPr>
      </w:pPr>
      <w:r w:rsidRPr="000B2731">
        <w:rPr>
          <w:rFonts w:ascii="Times New Roman" w:hAnsi="Times New Roman"/>
        </w:rPr>
        <w:t>•</w:t>
      </w:r>
      <w:r w:rsidRPr="000B2731">
        <w:rPr>
          <w:rFonts w:ascii="Times New Roman" w:hAnsi="Times New Roman"/>
        </w:rPr>
        <w:tab/>
      </w:r>
      <w:r>
        <w:rPr>
          <w:rFonts w:ascii="Times New Roman" w:hAnsi="Times New Roman"/>
          <w:b/>
        </w:rPr>
        <w:t>Strong and ambitious climate policies will</w:t>
      </w:r>
      <w:r w:rsidRPr="000B2731">
        <w:rPr>
          <w:rFonts w:ascii="Times New Roman" w:hAnsi="Times New Roman"/>
          <w:b/>
        </w:rPr>
        <w:t xml:space="preserve"> strengthen not weaken the national economy, by unlocking barriers to new industries and jobs.</w:t>
      </w:r>
      <w:r w:rsidRPr="000B2731">
        <w:rPr>
          <w:rFonts w:ascii="Times New Roman" w:hAnsi="Times New Roman"/>
        </w:rPr>
        <w:t xml:space="preserve"> </w:t>
      </w:r>
    </w:p>
    <w:p w14:paraId="7DCBA199" w14:textId="4B69F6E4" w:rsidR="000B2731" w:rsidRPr="000B2731" w:rsidRDefault="000B2731" w:rsidP="000B2731">
      <w:pPr>
        <w:spacing w:before="100" w:after="100" w:line="276" w:lineRule="auto"/>
        <w:rPr>
          <w:rFonts w:ascii="Times New Roman" w:hAnsi="Times New Roman"/>
        </w:rPr>
      </w:pPr>
      <w:r w:rsidRPr="000B2731">
        <w:rPr>
          <w:rFonts w:ascii="Times New Roman" w:hAnsi="Times New Roman"/>
        </w:rPr>
        <w:t>NAGA, along with the other Victorian greenhouse alliances have a long history of demonstrating how emissions reductions activities can lead to positive economic and social benefits. Studies such as NAGA’s Towards Zero Net Emission for the NAGA Region and Climate Works Australia’s Low Carbon Growth Plans</w:t>
      </w:r>
      <w:r>
        <w:rPr>
          <w:rStyle w:val="FootnoteReference"/>
        </w:rPr>
        <w:footnoteReference w:id="6"/>
      </w:r>
      <w:r w:rsidRPr="000B2731">
        <w:rPr>
          <w:rFonts w:ascii="Times New Roman" w:hAnsi="Times New Roman"/>
        </w:rPr>
        <w:t xml:space="preserve"> demonstrate significant low or no cost opportunities for emissions reductions, as well as the suite of more expensive actions needed for substantial transformation. For example, </w:t>
      </w:r>
      <w:proofErr w:type="spellStart"/>
      <w:r w:rsidRPr="000B2731">
        <w:rPr>
          <w:rFonts w:ascii="Times New Roman" w:hAnsi="Times New Roman"/>
        </w:rPr>
        <w:t>ClimateWorks</w:t>
      </w:r>
      <w:proofErr w:type="spellEnd"/>
      <w:r w:rsidRPr="000B2731">
        <w:rPr>
          <w:rFonts w:ascii="Times New Roman" w:hAnsi="Times New Roman"/>
        </w:rPr>
        <w:t xml:space="preserve"> Australia estimated that if we improved the energy efficiency of our economy alone, by 2020 Australian homes and businesses would save $5 billion every year.</w:t>
      </w:r>
    </w:p>
    <w:p w14:paraId="2CC1C0E8" w14:textId="5F988339" w:rsidR="00573954" w:rsidRDefault="000B2731" w:rsidP="000B2731">
      <w:pPr>
        <w:spacing w:before="100" w:after="100" w:line="276" w:lineRule="auto"/>
        <w:rPr>
          <w:rFonts w:ascii="Times New Roman" w:hAnsi="Times New Roman"/>
        </w:rPr>
      </w:pPr>
      <w:r w:rsidRPr="000B2731">
        <w:rPr>
          <w:rFonts w:ascii="Times New Roman" w:hAnsi="Times New Roman"/>
        </w:rPr>
        <w:t>A new report by WWF/ANU has demonstrated that Australia can make deep cuts to its emissions whilst still growing the economy, and that Australia can meet all of its electricity needs from renewable energy by 2050</w:t>
      </w:r>
      <w:r>
        <w:rPr>
          <w:rStyle w:val="FootnoteReference"/>
        </w:rPr>
        <w:footnoteReference w:id="7"/>
      </w:r>
      <w:proofErr w:type="gramStart"/>
      <w:r w:rsidRPr="000B2731">
        <w:rPr>
          <w:rFonts w:ascii="Times New Roman" w:hAnsi="Times New Roman"/>
        </w:rPr>
        <w:t xml:space="preserve"> .</w:t>
      </w:r>
      <w:proofErr w:type="gramEnd"/>
      <w:r w:rsidRPr="000B2731">
        <w:rPr>
          <w:rFonts w:ascii="Times New Roman" w:hAnsi="Times New Roman"/>
        </w:rPr>
        <w:t xml:space="preserve"> This is in line with many independent analyses over the past few years that all point to the economic opportunities from</w:t>
      </w:r>
      <w:r>
        <w:rPr>
          <w:rFonts w:ascii="Times New Roman" w:hAnsi="Times New Roman"/>
        </w:rPr>
        <w:t xml:space="preserve"> moving to a low carbon economy. </w:t>
      </w:r>
    </w:p>
    <w:p w14:paraId="466CA4FD" w14:textId="77777777" w:rsidR="000B2731" w:rsidRPr="000B2731" w:rsidRDefault="000B2731" w:rsidP="000B2731">
      <w:pPr>
        <w:spacing w:before="100" w:after="100" w:line="276" w:lineRule="auto"/>
        <w:rPr>
          <w:rFonts w:ascii="Times New Roman" w:hAnsi="Times New Roman"/>
          <w:b/>
        </w:rPr>
      </w:pPr>
      <w:r w:rsidRPr="000B2731">
        <w:rPr>
          <w:rFonts w:ascii="Times New Roman" w:hAnsi="Times New Roman"/>
          <w:b/>
        </w:rPr>
        <w:t>•</w:t>
      </w:r>
      <w:r w:rsidRPr="000B2731">
        <w:rPr>
          <w:rFonts w:ascii="Times New Roman" w:hAnsi="Times New Roman"/>
          <w:b/>
        </w:rPr>
        <w:tab/>
        <w:t xml:space="preserve">Increasing renewable energy and energy efficiency will lead to a net increase in employment. </w:t>
      </w:r>
    </w:p>
    <w:p w14:paraId="5102476A" w14:textId="533E7E82" w:rsidR="000B2731" w:rsidRPr="000B2731" w:rsidRDefault="000B2731" w:rsidP="000B2731">
      <w:pPr>
        <w:spacing w:before="100" w:after="100" w:line="276" w:lineRule="auto"/>
        <w:rPr>
          <w:rFonts w:ascii="Times New Roman" w:hAnsi="Times New Roman"/>
        </w:rPr>
      </w:pPr>
      <w:r w:rsidRPr="000B2731">
        <w:rPr>
          <w:rFonts w:ascii="Times New Roman" w:hAnsi="Times New Roman"/>
        </w:rPr>
        <w:t>There is significant potential for Australian businesses to succeed globally in the following six key green markets; renewable energy, energy efficiency, green buildings, sustainable water systems, biomaterials and waste and recycling. With the right policy settings, these industries that are currently valued at $US15.5 billion and employ about 112,000 people could grow by 2030 to a value of $243 billion and 847,000 jobs</w:t>
      </w:r>
      <w:r>
        <w:rPr>
          <w:rStyle w:val="FootnoteReference"/>
        </w:rPr>
        <w:footnoteReference w:id="8"/>
      </w:r>
      <w:r w:rsidRPr="000B2731">
        <w:rPr>
          <w:rFonts w:ascii="Times New Roman" w:hAnsi="Times New Roman"/>
        </w:rPr>
        <w:t xml:space="preserve">.   Twenty one thousand Australians are currently employed in the renewable energy industry, and this is expected to grow to 32,000 in 15 years with the </w:t>
      </w:r>
      <w:r w:rsidRPr="000B2731">
        <w:rPr>
          <w:rFonts w:ascii="Times New Roman" w:hAnsi="Times New Roman"/>
        </w:rPr>
        <w:lastRenderedPageBreak/>
        <w:t>r</w:t>
      </w:r>
      <w:r>
        <w:rPr>
          <w:rFonts w:ascii="Times New Roman" w:hAnsi="Times New Roman"/>
        </w:rPr>
        <w:t>ight supportive policy settings</w:t>
      </w:r>
      <w:r>
        <w:rPr>
          <w:rStyle w:val="FootnoteReference"/>
        </w:rPr>
        <w:footnoteReference w:id="9"/>
      </w:r>
      <w:r w:rsidRPr="000B2731">
        <w:rPr>
          <w:rFonts w:ascii="Times New Roman" w:hAnsi="Times New Roman"/>
        </w:rPr>
        <w:t>. If Australia develops policies to strengthen energy efficiency, there could be 75,000 jobs in energy efficiency by 2030</w:t>
      </w:r>
      <w:r>
        <w:rPr>
          <w:rStyle w:val="FootnoteReference"/>
        </w:rPr>
        <w:footnoteReference w:id="10"/>
      </w:r>
      <w:r w:rsidRPr="000B2731">
        <w:rPr>
          <w:rFonts w:ascii="Times New Roman" w:hAnsi="Times New Roman"/>
        </w:rPr>
        <w:t>.</w:t>
      </w:r>
    </w:p>
    <w:p w14:paraId="5F7A8E9D" w14:textId="249381A4" w:rsidR="000B2731" w:rsidRPr="000B2731" w:rsidRDefault="000B2731" w:rsidP="000B2731">
      <w:pPr>
        <w:spacing w:before="100" w:after="100" w:line="276" w:lineRule="auto"/>
        <w:rPr>
          <w:rFonts w:ascii="Times New Roman" w:hAnsi="Times New Roman"/>
        </w:rPr>
      </w:pPr>
      <w:r w:rsidRPr="000B2731">
        <w:rPr>
          <w:rFonts w:ascii="Times New Roman" w:hAnsi="Times New Roman"/>
        </w:rPr>
        <w:t>•</w:t>
      </w:r>
      <w:r w:rsidRPr="000B2731">
        <w:rPr>
          <w:rFonts w:ascii="Times New Roman" w:hAnsi="Times New Roman"/>
        </w:rPr>
        <w:tab/>
      </w:r>
      <w:r w:rsidRPr="000B2731">
        <w:rPr>
          <w:rFonts w:ascii="Times New Roman" w:hAnsi="Times New Roman"/>
          <w:b/>
        </w:rPr>
        <w:t xml:space="preserve">Economic modelling of different climate change </w:t>
      </w:r>
      <w:r>
        <w:rPr>
          <w:rFonts w:ascii="Times New Roman" w:hAnsi="Times New Roman"/>
          <w:b/>
        </w:rPr>
        <w:t>policies</w:t>
      </w:r>
      <w:r w:rsidRPr="000B2731">
        <w:rPr>
          <w:rFonts w:ascii="Times New Roman" w:hAnsi="Times New Roman"/>
          <w:b/>
        </w:rPr>
        <w:t xml:space="preserve"> must consider the benefits, not just the costs of reducing climate change impacts through strong action.</w:t>
      </w:r>
      <w:r w:rsidRPr="000B2731">
        <w:rPr>
          <w:rFonts w:ascii="Times New Roman" w:hAnsi="Times New Roman"/>
        </w:rPr>
        <w:t xml:space="preserve"> </w:t>
      </w:r>
    </w:p>
    <w:p w14:paraId="7BBE0675" w14:textId="77777777" w:rsidR="000B2731" w:rsidRPr="000B2731" w:rsidRDefault="000B2731" w:rsidP="000B2731">
      <w:pPr>
        <w:spacing w:before="100" w:after="100" w:line="276" w:lineRule="auto"/>
        <w:rPr>
          <w:rFonts w:ascii="Times New Roman" w:hAnsi="Times New Roman"/>
        </w:rPr>
      </w:pPr>
      <w:r w:rsidRPr="000B2731">
        <w:rPr>
          <w:rFonts w:ascii="Times New Roman" w:hAnsi="Times New Roman"/>
        </w:rPr>
        <w:t xml:space="preserve">When considering the costs and benefits of Australia’s target, the high costs to the Australian economy of damages from climate change inaction should be comprehensively assessed. This recognises that less mitigation will require significantly higher costs of adaptation. On this basis NAGA supports stronger action now that can help reduce costs and smooth Australia’s transition to a low-carbon adaptive society, as well as preserve options and leave a manageable task for the next generation.   </w:t>
      </w:r>
    </w:p>
    <w:p w14:paraId="440AA626" w14:textId="77777777" w:rsidR="000B2731" w:rsidRPr="000B2731" w:rsidRDefault="000B2731" w:rsidP="000B2731">
      <w:pPr>
        <w:spacing w:before="100" w:after="100" w:line="276" w:lineRule="auto"/>
        <w:rPr>
          <w:rFonts w:ascii="Times New Roman" w:hAnsi="Times New Roman"/>
        </w:rPr>
      </w:pPr>
      <w:r w:rsidRPr="000B2731">
        <w:rPr>
          <w:rFonts w:ascii="Times New Roman" w:hAnsi="Times New Roman"/>
        </w:rPr>
        <w:t>•</w:t>
      </w:r>
      <w:r w:rsidRPr="000B2731">
        <w:rPr>
          <w:rFonts w:ascii="Times New Roman" w:hAnsi="Times New Roman"/>
        </w:rPr>
        <w:tab/>
      </w:r>
      <w:r w:rsidRPr="000B2731">
        <w:rPr>
          <w:rFonts w:ascii="Times New Roman" w:hAnsi="Times New Roman"/>
          <w:b/>
        </w:rPr>
        <w:t>Strong ambitious mitigation action will reduce the costs of adaptation and impacts of climate change on our local economy, people and the environment.</w:t>
      </w:r>
    </w:p>
    <w:p w14:paraId="78EEFDA4" w14:textId="6794CC28" w:rsidR="000B2731" w:rsidRDefault="000B2731" w:rsidP="000B2731">
      <w:pPr>
        <w:spacing w:before="100" w:after="100" w:line="276" w:lineRule="auto"/>
        <w:rPr>
          <w:rFonts w:ascii="Times New Roman" w:hAnsi="Times New Roman"/>
        </w:rPr>
      </w:pPr>
      <w:r w:rsidRPr="000B2731">
        <w:rPr>
          <w:rFonts w:ascii="Times New Roman" w:hAnsi="Times New Roman"/>
        </w:rPr>
        <w:t xml:space="preserve">Climate change is happening now and is being felt adversely by local governments across Melbourne. NAGA has recently undertaken a regional climate change vulnerability assessment, which identified that increasing temperatures and drier conditions, combined with an increase in the frequency, severity and duration of extreme events such as </w:t>
      </w:r>
      <w:proofErr w:type="spellStart"/>
      <w:r w:rsidRPr="000B2731">
        <w:rPr>
          <w:rFonts w:ascii="Times New Roman" w:hAnsi="Times New Roman"/>
        </w:rPr>
        <w:t>heatwaves</w:t>
      </w:r>
      <w:proofErr w:type="spellEnd"/>
      <w:r w:rsidRPr="000B2731">
        <w:rPr>
          <w:rFonts w:ascii="Times New Roman" w:hAnsi="Times New Roman"/>
        </w:rPr>
        <w:t>, bushfires and flooding pose significant risks to the region. Climate change is impacting multiple sectors, including regional economies, infrastructure and assets, community health and wellbeing, emergency management, and the natural environment. The magnitude and costs of these risks is strongly dependent on the degree of mitigation.</w:t>
      </w:r>
    </w:p>
    <w:p w14:paraId="5DC0904C" w14:textId="29832D33" w:rsidR="000B2731" w:rsidRPr="000B2731" w:rsidRDefault="000B2731" w:rsidP="000B2731">
      <w:pPr>
        <w:spacing w:before="100" w:after="100" w:line="276" w:lineRule="auto"/>
        <w:rPr>
          <w:rFonts w:ascii="Times New Roman" w:hAnsi="Times New Roman"/>
          <w:b/>
        </w:rPr>
      </w:pPr>
      <w:r w:rsidRPr="000B2731">
        <w:rPr>
          <w:rFonts w:ascii="Times New Roman" w:hAnsi="Times New Roman"/>
        </w:rPr>
        <w:t>•</w:t>
      </w:r>
      <w:r w:rsidRPr="000B2731">
        <w:rPr>
          <w:rFonts w:ascii="Times New Roman" w:hAnsi="Times New Roman"/>
        </w:rPr>
        <w:tab/>
      </w:r>
      <w:r w:rsidRPr="000B2731">
        <w:rPr>
          <w:rFonts w:ascii="Times New Roman" w:hAnsi="Times New Roman"/>
          <w:b/>
        </w:rPr>
        <w:t>NAGA supports a broad</w:t>
      </w:r>
      <w:r>
        <w:rPr>
          <w:rFonts w:ascii="Times New Roman" w:hAnsi="Times New Roman"/>
          <w:b/>
        </w:rPr>
        <w:t xml:space="preserve"> suite of climate change policies, including a price on carbon </w:t>
      </w:r>
      <w:r w:rsidRPr="000B2731">
        <w:rPr>
          <w:rFonts w:ascii="Times New Roman" w:hAnsi="Times New Roman"/>
          <w:b/>
        </w:rPr>
        <w:t xml:space="preserve">and complementary measures, to reduce greenhouse gas emissions in the short term, and to contribute to delivering science-based emissions cuts in the medium and long-term.  </w:t>
      </w:r>
    </w:p>
    <w:p w14:paraId="20124971" w14:textId="3F6C935E" w:rsidR="00573954" w:rsidRDefault="000B2731" w:rsidP="000B2731">
      <w:pPr>
        <w:spacing w:before="100" w:after="100" w:line="276" w:lineRule="auto"/>
        <w:rPr>
          <w:rFonts w:ascii="Times New Roman" w:hAnsi="Times New Roman"/>
        </w:rPr>
      </w:pPr>
      <w:r w:rsidRPr="000B2731">
        <w:rPr>
          <w:rFonts w:ascii="Times New Roman" w:hAnsi="Times New Roman"/>
        </w:rPr>
        <w:t>Emissions reductions require a broad mitigation program that incorporates a wide range of actions and complementary measures to promote energy efficiency and the uptake of renewable and low carbon energy production in a just and equitable transition to a low carbon future.  The need for structural adjustment measures for specific regions and industries is a high priority; local governments have played a key role in supporting communities affected by previous economic and industry adjustments.</w:t>
      </w:r>
    </w:p>
    <w:p w14:paraId="2869C516" w14:textId="0BC4B519" w:rsidR="000B2731" w:rsidRDefault="000B2731" w:rsidP="000B2731">
      <w:pPr>
        <w:spacing w:before="100" w:after="100" w:line="276" w:lineRule="auto"/>
        <w:rPr>
          <w:rFonts w:ascii="Times New Roman" w:hAnsi="Times New Roman"/>
        </w:rPr>
      </w:pPr>
      <w:r>
        <w:rPr>
          <w:rFonts w:ascii="Times New Roman" w:hAnsi="Times New Roman"/>
        </w:rPr>
        <w:t xml:space="preserve">NAGA considers that the most efficient and effective way to reduce emissions across the whole of the economy is to establish a policy mechanism that puts a price on carbon. </w:t>
      </w:r>
      <w:r w:rsidR="00B53796">
        <w:rPr>
          <w:rFonts w:ascii="Times New Roman" w:hAnsi="Times New Roman"/>
        </w:rPr>
        <w:t xml:space="preserve">Countless reviews into climate change policy options for the Federal Government continue to demonstrate that carbon pricing, whether it is an Emissions Trading Scheme, a carbon tax, or an Emissions Intensity Scheme is an effective and efficient policy mechanism. </w:t>
      </w:r>
      <w:r w:rsidR="00B53796" w:rsidRPr="00B53796">
        <w:rPr>
          <w:rFonts w:ascii="Times New Roman" w:hAnsi="Times New Roman"/>
        </w:rPr>
        <w:t xml:space="preserve">Carbon pricing schemes are being adopted en masse across the world, </w:t>
      </w:r>
      <w:proofErr w:type="gramStart"/>
      <w:r w:rsidR="00B53796" w:rsidRPr="00B53796">
        <w:rPr>
          <w:rFonts w:ascii="Times New Roman" w:hAnsi="Times New Roman"/>
        </w:rPr>
        <w:t>including  39</w:t>
      </w:r>
      <w:proofErr w:type="gramEnd"/>
      <w:r w:rsidR="00B53796" w:rsidRPr="00B53796">
        <w:rPr>
          <w:rFonts w:ascii="Times New Roman" w:hAnsi="Times New Roman"/>
        </w:rPr>
        <w:t xml:space="preserve"> national and 23 subnational jurisdictions with either emissions trading schemes or carbon taxes, valued at $30 billion . China is home to the second biggest carbon market after Europe and this will continue to shape our domestic climate policy in the years to come.</w:t>
      </w:r>
    </w:p>
    <w:p w14:paraId="14642E64" w14:textId="0889AE8D" w:rsidR="00B53796" w:rsidRDefault="00612507" w:rsidP="00612507">
      <w:pPr>
        <w:pStyle w:val="ListParagraph"/>
        <w:numPr>
          <w:ilvl w:val="0"/>
          <w:numId w:val="28"/>
        </w:numPr>
        <w:spacing w:before="100" w:after="100" w:line="276" w:lineRule="auto"/>
        <w:rPr>
          <w:rFonts w:ascii="Times New Roman" w:hAnsi="Times New Roman"/>
          <w:b/>
        </w:rPr>
      </w:pPr>
      <w:r w:rsidRPr="00612507">
        <w:rPr>
          <w:rFonts w:ascii="Times New Roman" w:hAnsi="Times New Roman"/>
          <w:b/>
        </w:rPr>
        <w:t>Addressing emissions reductions from the energy sector</w:t>
      </w:r>
    </w:p>
    <w:p w14:paraId="221793CF" w14:textId="39249680" w:rsidR="00612507" w:rsidRPr="00612507" w:rsidRDefault="00612507" w:rsidP="00612507">
      <w:pPr>
        <w:spacing w:before="100" w:after="100" w:line="276" w:lineRule="auto"/>
        <w:rPr>
          <w:rFonts w:ascii="Times New Roman" w:hAnsi="Times New Roman"/>
        </w:rPr>
      </w:pPr>
      <w:r w:rsidRPr="00612507">
        <w:rPr>
          <w:rFonts w:ascii="Times New Roman" w:hAnsi="Times New Roman"/>
        </w:rPr>
        <w:t>As</w:t>
      </w:r>
      <w:r>
        <w:rPr>
          <w:rFonts w:ascii="Times New Roman" w:hAnsi="Times New Roman"/>
        </w:rPr>
        <w:t xml:space="preserve"> noted in the discussion paper, </w:t>
      </w:r>
      <w:r w:rsidRPr="00612507">
        <w:rPr>
          <w:rFonts w:ascii="Times New Roman" w:hAnsi="Times New Roman"/>
        </w:rPr>
        <w:t>there is currently an independent review underway into the future security of the national electricity market (the `</w:t>
      </w:r>
      <w:proofErr w:type="spellStart"/>
      <w:r w:rsidRPr="00612507">
        <w:rPr>
          <w:rFonts w:ascii="Times New Roman" w:hAnsi="Times New Roman"/>
        </w:rPr>
        <w:t>Finkel</w:t>
      </w:r>
      <w:proofErr w:type="spellEnd"/>
      <w:r w:rsidRPr="00612507">
        <w:rPr>
          <w:rFonts w:ascii="Times New Roman" w:hAnsi="Times New Roman"/>
        </w:rPr>
        <w:t xml:space="preserve"> Review’). The preliminary report of the </w:t>
      </w:r>
      <w:proofErr w:type="spellStart"/>
      <w:r w:rsidRPr="00612507">
        <w:rPr>
          <w:rFonts w:ascii="Times New Roman" w:hAnsi="Times New Roman"/>
        </w:rPr>
        <w:t>Finkel</w:t>
      </w:r>
      <w:proofErr w:type="spellEnd"/>
      <w:r w:rsidRPr="00612507">
        <w:rPr>
          <w:rFonts w:ascii="Times New Roman" w:hAnsi="Times New Roman"/>
        </w:rPr>
        <w:t xml:space="preserve"> Review makes a number of findings in relation to emissions reduction in the electricity sector, including that:</w:t>
      </w:r>
    </w:p>
    <w:p w14:paraId="7D8E1FE5" w14:textId="77777777" w:rsidR="00612507" w:rsidRPr="00612507" w:rsidRDefault="00612507" w:rsidP="00612507">
      <w:pPr>
        <w:spacing w:before="100" w:after="100" w:line="276" w:lineRule="auto"/>
        <w:rPr>
          <w:rFonts w:ascii="Times New Roman" w:hAnsi="Times New Roman"/>
        </w:rPr>
      </w:pPr>
      <w:r w:rsidRPr="00612507">
        <w:rPr>
          <w:rFonts w:ascii="Times New Roman" w:hAnsi="Times New Roman"/>
        </w:rPr>
        <w:t>•</w:t>
      </w:r>
      <w:r w:rsidRPr="00612507">
        <w:rPr>
          <w:rFonts w:ascii="Times New Roman" w:hAnsi="Times New Roman"/>
        </w:rPr>
        <w:tab/>
      </w:r>
      <w:proofErr w:type="gramStart"/>
      <w:r w:rsidRPr="00612507">
        <w:rPr>
          <w:rFonts w:ascii="Times New Roman" w:hAnsi="Times New Roman"/>
        </w:rPr>
        <w:t>current</w:t>
      </w:r>
      <w:proofErr w:type="gramEnd"/>
      <w:r w:rsidRPr="00612507">
        <w:rPr>
          <w:rFonts w:ascii="Times New Roman" w:hAnsi="Times New Roman"/>
        </w:rPr>
        <w:t xml:space="preserve"> policy settings do not provide a clear pathway to the level of reduction required to meet Australia’s Paris commitments</w:t>
      </w:r>
    </w:p>
    <w:p w14:paraId="506AA121" w14:textId="77777777" w:rsidR="00612507" w:rsidRPr="00612507" w:rsidRDefault="00612507" w:rsidP="00612507">
      <w:pPr>
        <w:spacing w:before="100" w:after="100" w:line="276" w:lineRule="auto"/>
        <w:rPr>
          <w:rFonts w:ascii="Times New Roman" w:hAnsi="Times New Roman"/>
        </w:rPr>
      </w:pPr>
      <w:r w:rsidRPr="00612507">
        <w:rPr>
          <w:rFonts w:ascii="Times New Roman" w:hAnsi="Times New Roman"/>
        </w:rPr>
        <w:t>•</w:t>
      </w:r>
      <w:r w:rsidRPr="00612507">
        <w:rPr>
          <w:rFonts w:ascii="Times New Roman" w:hAnsi="Times New Roman"/>
        </w:rPr>
        <w:tab/>
      </w:r>
      <w:proofErr w:type="gramStart"/>
      <w:r w:rsidRPr="00612507">
        <w:rPr>
          <w:rFonts w:ascii="Times New Roman" w:hAnsi="Times New Roman"/>
        </w:rPr>
        <w:t>the</w:t>
      </w:r>
      <w:proofErr w:type="gramEnd"/>
      <w:r w:rsidRPr="00612507">
        <w:rPr>
          <w:rFonts w:ascii="Times New Roman" w:hAnsi="Times New Roman"/>
        </w:rPr>
        <w:t xml:space="preserve"> Emissions Reduction Fund has not been successful at attracting large-scale projects and the Safeguard Mechanism  for the electricity sector is ineffective as it is set well above the current level of emissions from the sector</w:t>
      </w:r>
    </w:p>
    <w:p w14:paraId="25B46274" w14:textId="77777777" w:rsidR="00612507" w:rsidRPr="00612507" w:rsidRDefault="00612507" w:rsidP="00612507">
      <w:pPr>
        <w:spacing w:before="100" w:after="100" w:line="276" w:lineRule="auto"/>
        <w:rPr>
          <w:rFonts w:ascii="Times New Roman" w:hAnsi="Times New Roman"/>
        </w:rPr>
      </w:pPr>
      <w:r w:rsidRPr="00612507">
        <w:rPr>
          <w:rFonts w:ascii="Times New Roman" w:hAnsi="Times New Roman"/>
        </w:rPr>
        <w:t>•</w:t>
      </w:r>
      <w:r w:rsidRPr="00612507">
        <w:rPr>
          <w:rFonts w:ascii="Times New Roman" w:hAnsi="Times New Roman"/>
        </w:rPr>
        <w:tab/>
      </w:r>
      <w:proofErr w:type="gramStart"/>
      <w:r w:rsidRPr="00612507">
        <w:rPr>
          <w:rFonts w:ascii="Times New Roman" w:hAnsi="Times New Roman"/>
        </w:rPr>
        <w:t>the</w:t>
      </w:r>
      <w:proofErr w:type="gramEnd"/>
      <w:r w:rsidRPr="00612507">
        <w:rPr>
          <w:rFonts w:ascii="Times New Roman" w:hAnsi="Times New Roman"/>
        </w:rPr>
        <w:t xml:space="preserve"> lack of clarity about emissions reduction policy beyond 2020 has been a major contributor to the current investment uncertainty in the electricity sector</w:t>
      </w:r>
    </w:p>
    <w:p w14:paraId="4A476D16" w14:textId="609CCD38" w:rsidR="00612507" w:rsidRPr="00612507" w:rsidRDefault="00612507" w:rsidP="00612507">
      <w:pPr>
        <w:spacing w:before="100" w:after="100" w:line="276" w:lineRule="auto"/>
        <w:rPr>
          <w:rFonts w:ascii="Times New Roman" w:hAnsi="Times New Roman"/>
        </w:rPr>
      </w:pPr>
      <w:r w:rsidRPr="00612507">
        <w:rPr>
          <w:rFonts w:ascii="Times New Roman" w:hAnsi="Times New Roman"/>
        </w:rPr>
        <w:t xml:space="preserve">The preliminary report also notes that the Government’s review of climate policy settings, namely this review, is expected to clarify the electricity sector’s role in helping meeting the 2030 emissions reduction target. This is </w:t>
      </w:r>
      <w:r w:rsidRPr="00612507">
        <w:rPr>
          <w:rFonts w:ascii="Times New Roman" w:hAnsi="Times New Roman"/>
        </w:rPr>
        <w:lastRenderedPageBreak/>
        <w:t xml:space="preserve">concerning given the total absence of discussion or analysis in the discussion paper of the relative costs and benefits of possible policy solutions. </w:t>
      </w:r>
    </w:p>
    <w:p w14:paraId="24FA030F" w14:textId="3130C7F9" w:rsidR="00612507" w:rsidRPr="00612507" w:rsidRDefault="00612507" w:rsidP="00612507">
      <w:pPr>
        <w:spacing w:before="100" w:after="100" w:line="276" w:lineRule="auto"/>
        <w:rPr>
          <w:rFonts w:ascii="Times New Roman" w:hAnsi="Times New Roman"/>
        </w:rPr>
      </w:pPr>
      <w:r w:rsidRPr="00612507">
        <w:rPr>
          <w:rFonts w:ascii="Times New Roman" w:hAnsi="Times New Roman"/>
        </w:rPr>
        <w:t xml:space="preserve">We understand that a range of stakeholders, including independent experts in the energy field, have recently expressed support for an emissions intensity scheme for the electricity sector. We call on the Government to heed the advice of the Climate Change Authority, Dr Alan </w:t>
      </w:r>
      <w:proofErr w:type="spellStart"/>
      <w:r w:rsidRPr="00612507">
        <w:rPr>
          <w:rFonts w:ascii="Times New Roman" w:hAnsi="Times New Roman"/>
        </w:rPr>
        <w:t>Finkel</w:t>
      </w:r>
      <w:proofErr w:type="spellEnd"/>
      <w:r w:rsidRPr="00612507">
        <w:rPr>
          <w:rFonts w:ascii="Times New Roman" w:hAnsi="Times New Roman"/>
        </w:rPr>
        <w:t xml:space="preserve"> AO and other credible independent expert bodies. There is an urgent need for the Government to show strong leadership, to trust in science, and to support regulatory settings that foster innovation and investment in clean energy.</w:t>
      </w:r>
    </w:p>
    <w:p w14:paraId="0BAB4401" w14:textId="77777777" w:rsidR="00612507" w:rsidRDefault="00612507" w:rsidP="000B2731">
      <w:pPr>
        <w:spacing w:before="100" w:after="100" w:line="276" w:lineRule="auto"/>
        <w:rPr>
          <w:rFonts w:ascii="Times New Roman" w:hAnsi="Times New Roman"/>
        </w:rPr>
      </w:pPr>
      <w:r w:rsidRPr="00612507">
        <w:rPr>
          <w:rFonts w:ascii="Times New Roman" w:hAnsi="Times New Roman"/>
        </w:rPr>
        <w:t>•</w:t>
      </w:r>
      <w:r w:rsidRPr="00612507">
        <w:rPr>
          <w:rFonts w:ascii="Times New Roman" w:hAnsi="Times New Roman"/>
        </w:rPr>
        <w:tab/>
      </w:r>
      <w:r w:rsidRPr="00612507">
        <w:rPr>
          <w:rFonts w:ascii="Times New Roman" w:hAnsi="Times New Roman"/>
          <w:b/>
        </w:rPr>
        <w:t>Achieving adequate emissions reductions will inevitably require the rapid phasing out of Australia’s coal and gas fired power plants and facilitating more renewable energy.</w:t>
      </w:r>
      <w:r w:rsidRPr="00612507">
        <w:rPr>
          <w:rFonts w:ascii="Times New Roman" w:hAnsi="Times New Roman"/>
        </w:rPr>
        <w:t xml:space="preserve"> </w:t>
      </w:r>
    </w:p>
    <w:p w14:paraId="1D2F4DE4" w14:textId="208DB5BD" w:rsidR="00612507" w:rsidRDefault="00612507" w:rsidP="000B2731">
      <w:pPr>
        <w:spacing w:before="100" w:after="100" w:line="276" w:lineRule="auto"/>
        <w:rPr>
          <w:rFonts w:ascii="Times New Roman" w:hAnsi="Times New Roman"/>
        </w:rPr>
      </w:pPr>
      <w:r w:rsidRPr="00612507">
        <w:rPr>
          <w:rFonts w:ascii="Times New Roman" w:hAnsi="Times New Roman"/>
        </w:rPr>
        <w:t xml:space="preserve">Emissions reductions will require substantial transformation to our existing fossil fuel based economy, with Australia’s high per capita emissions. </w:t>
      </w:r>
      <w:r>
        <w:rPr>
          <w:rFonts w:ascii="Times New Roman" w:hAnsi="Times New Roman"/>
        </w:rPr>
        <w:t>As recently experienced in the Latrobe Valley in Victoria with the Hazelwood closure, s</w:t>
      </w:r>
      <w:r w:rsidRPr="00612507">
        <w:rPr>
          <w:rFonts w:ascii="Times New Roman" w:hAnsi="Times New Roman"/>
        </w:rPr>
        <w:t xml:space="preserve">uch transitions may create significant economic and social impacts if </w:t>
      </w:r>
      <w:r>
        <w:rPr>
          <w:rFonts w:ascii="Times New Roman" w:hAnsi="Times New Roman"/>
        </w:rPr>
        <w:t>not prepared for</w:t>
      </w:r>
      <w:r w:rsidRPr="00612507">
        <w:rPr>
          <w:rFonts w:ascii="Times New Roman" w:hAnsi="Times New Roman"/>
        </w:rPr>
        <w:t>. The value of taking early action, and positioning Australia to be a leader in our transition to a low carbon economy, has been highlighted by a number of key studies and reports, including the</w:t>
      </w:r>
      <w:r>
        <w:rPr>
          <w:rFonts w:ascii="Times New Roman" w:hAnsi="Times New Roman"/>
        </w:rPr>
        <w:t xml:space="preserve"> former</w:t>
      </w:r>
      <w:r w:rsidRPr="00612507">
        <w:rPr>
          <w:rFonts w:ascii="Times New Roman" w:hAnsi="Times New Roman"/>
        </w:rPr>
        <w:t xml:space="preserve"> </w:t>
      </w:r>
      <w:proofErr w:type="spellStart"/>
      <w:r w:rsidRPr="00612507">
        <w:rPr>
          <w:rFonts w:ascii="Times New Roman" w:hAnsi="Times New Roman"/>
        </w:rPr>
        <w:t>Garnaut</w:t>
      </w:r>
      <w:proofErr w:type="spellEnd"/>
      <w:r w:rsidRPr="00612507">
        <w:rPr>
          <w:rFonts w:ascii="Times New Roman" w:hAnsi="Times New Roman"/>
        </w:rPr>
        <w:t xml:space="preserve"> Climate Change Reviews. Early action is more cost-effective and establishes competitive advantages, as well as contributing to reducing the risk of stranded assets.</w:t>
      </w:r>
    </w:p>
    <w:p w14:paraId="7781E601" w14:textId="3AE706EE" w:rsidR="00612507" w:rsidRDefault="00612507" w:rsidP="000B2731">
      <w:pPr>
        <w:spacing w:before="100" w:after="100" w:line="276" w:lineRule="auto"/>
        <w:rPr>
          <w:rFonts w:ascii="Times New Roman" w:hAnsi="Times New Roman"/>
        </w:rPr>
      </w:pPr>
      <w:r>
        <w:rPr>
          <w:rFonts w:ascii="Times New Roman" w:hAnsi="Times New Roman"/>
        </w:rPr>
        <w:t xml:space="preserve">Similarly we do not consider gas to be a transition fuel to a low carbon economy and needs to rapidly </w:t>
      </w:r>
      <w:proofErr w:type="gramStart"/>
      <w:r>
        <w:rPr>
          <w:rFonts w:ascii="Times New Roman" w:hAnsi="Times New Roman"/>
        </w:rPr>
        <w:t>phased</w:t>
      </w:r>
      <w:proofErr w:type="gramEnd"/>
      <w:r>
        <w:rPr>
          <w:rFonts w:ascii="Times New Roman" w:hAnsi="Times New Roman"/>
        </w:rPr>
        <w:t xml:space="preserve"> out. A recent report by the Climate Council</w:t>
      </w:r>
      <w:r w:rsidR="00A96AE3">
        <w:rPr>
          <w:rStyle w:val="FootnoteReference"/>
        </w:rPr>
        <w:footnoteReference w:id="11"/>
      </w:r>
      <w:r>
        <w:rPr>
          <w:rFonts w:ascii="Times New Roman" w:hAnsi="Times New Roman"/>
        </w:rPr>
        <w:t xml:space="preserve"> has demonstrated how: </w:t>
      </w:r>
    </w:p>
    <w:p w14:paraId="16B55245" w14:textId="48CB788A" w:rsidR="00612507" w:rsidRDefault="00612507" w:rsidP="00612507">
      <w:pPr>
        <w:pStyle w:val="ListParagraph"/>
        <w:numPr>
          <w:ilvl w:val="0"/>
          <w:numId w:val="29"/>
        </w:numPr>
        <w:spacing w:before="100" w:after="100" w:line="276" w:lineRule="auto"/>
        <w:rPr>
          <w:rFonts w:ascii="Times New Roman" w:hAnsi="Times New Roman"/>
        </w:rPr>
      </w:pPr>
      <w:r>
        <w:rPr>
          <w:rFonts w:ascii="Times New Roman" w:hAnsi="Times New Roman"/>
        </w:rPr>
        <w:t xml:space="preserve">Greenhouse gas emissions from gas are not substantially lower than coal </w:t>
      </w:r>
      <w:r w:rsidR="00A96AE3">
        <w:rPr>
          <w:rFonts w:ascii="Times New Roman" w:hAnsi="Times New Roman"/>
        </w:rPr>
        <w:t>to garner any climate benefit</w:t>
      </w:r>
    </w:p>
    <w:p w14:paraId="3A7C2CB2" w14:textId="25C8E527" w:rsidR="00A96AE3" w:rsidRDefault="00A96AE3" w:rsidP="00612507">
      <w:pPr>
        <w:pStyle w:val="ListParagraph"/>
        <w:numPr>
          <w:ilvl w:val="0"/>
          <w:numId w:val="29"/>
        </w:numPr>
        <w:spacing w:before="100" w:after="100" w:line="276" w:lineRule="auto"/>
        <w:rPr>
          <w:rFonts w:ascii="Times New Roman" w:hAnsi="Times New Roman"/>
        </w:rPr>
      </w:pPr>
      <w:r>
        <w:rPr>
          <w:rFonts w:ascii="Times New Roman" w:hAnsi="Times New Roman"/>
        </w:rPr>
        <w:t>Greater reliance on gas will drive higher power prices</w:t>
      </w:r>
    </w:p>
    <w:p w14:paraId="55A13DB3" w14:textId="0D27BFE1" w:rsidR="00A96AE3" w:rsidRDefault="00A96AE3" w:rsidP="00612507">
      <w:pPr>
        <w:pStyle w:val="ListParagraph"/>
        <w:numPr>
          <w:ilvl w:val="0"/>
          <w:numId w:val="29"/>
        </w:numPr>
        <w:spacing w:before="100" w:after="100" w:line="276" w:lineRule="auto"/>
        <w:rPr>
          <w:rFonts w:ascii="Times New Roman" w:hAnsi="Times New Roman"/>
        </w:rPr>
      </w:pPr>
      <w:r>
        <w:rPr>
          <w:rFonts w:ascii="Times New Roman" w:hAnsi="Times New Roman"/>
        </w:rPr>
        <w:t>Investment in new gas plants is financially risky</w:t>
      </w:r>
    </w:p>
    <w:p w14:paraId="270BDCF1" w14:textId="0A42DA38" w:rsidR="00A96AE3" w:rsidRDefault="00A96AE3" w:rsidP="00612507">
      <w:pPr>
        <w:pStyle w:val="ListParagraph"/>
        <w:numPr>
          <w:ilvl w:val="0"/>
          <w:numId w:val="29"/>
        </w:numPr>
        <w:spacing w:before="100" w:after="100" w:line="276" w:lineRule="auto"/>
        <w:rPr>
          <w:rFonts w:ascii="Times New Roman" w:hAnsi="Times New Roman"/>
        </w:rPr>
      </w:pPr>
      <w:r>
        <w:rPr>
          <w:rFonts w:ascii="Times New Roman" w:hAnsi="Times New Roman"/>
        </w:rPr>
        <w:t>Significant development of new gas plants is unfeasible without a massive expansion of unconventional gas, including thousands of new unconventional gas wells</w:t>
      </w:r>
    </w:p>
    <w:p w14:paraId="48F8C24D" w14:textId="23136A70" w:rsidR="00A96AE3" w:rsidRDefault="00A96AE3" w:rsidP="00612507">
      <w:pPr>
        <w:pStyle w:val="ListParagraph"/>
        <w:numPr>
          <w:ilvl w:val="0"/>
          <w:numId w:val="29"/>
        </w:numPr>
        <w:spacing w:before="100" w:after="100" w:line="276" w:lineRule="auto"/>
        <w:rPr>
          <w:rFonts w:ascii="Times New Roman" w:hAnsi="Times New Roman"/>
        </w:rPr>
      </w:pPr>
      <w:r>
        <w:rPr>
          <w:rFonts w:ascii="Times New Roman" w:hAnsi="Times New Roman"/>
        </w:rPr>
        <w:t>Renewable energy can provide a secure, affordable alternative to new fossil fuels</w:t>
      </w:r>
    </w:p>
    <w:p w14:paraId="6EB7B97D" w14:textId="77777777" w:rsidR="00A96AE3" w:rsidRDefault="00A96AE3" w:rsidP="00A96AE3">
      <w:pPr>
        <w:spacing w:before="100" w:after="100" w:line="276" w:lineRule="auto"/>
        <w:rPr>
          <w:rFonts w:ascii="Times New Roman" w:hAnsi="Times New Roman"/>
        </w:rPr>
      </w:pPr>
    </w:p>
    <w:p w14:paraId="701094AA" w14:textId="520593BC" w:rsidR="00A96AE3" w:rsidRDefault="00A96AE3" w:rsidP="00A96AE3">
      <w:pPr>
        <w:spacing w:before="100" w:after="100" w:line="276" w:lineRule="auto"/>
        <w:rPr>
          <w:rFonts w:ascii="Times New Roman" w:hAnsi="Times New Roman"/>
          <w:b/>
        </w:rPr>
      </w:pPr>
      <w:r w:rsidRPr="00A96AE3">
        <w:rPr>
          <w:rFonts w:ascii="Times New Roman" w:hAnsi="Times New Roman"/>
          <w:b/>
        </w:rPr>
        <w:t>The critical need for strong adaptation policies</w:t>
      </w:r>
    </w:p>
    <w:p w14:paraId="3ACBF893" w14:textId="2DA62B45" w:rsidR="00612507" w:rsidRDefault="00A96AE3" w:rsidP="000B2731">
      <w:pPr>
        <w:spacing w:before="100" w:after="100" w:line="276" w:lineRule="auto"/>
        <w:rPr>
          <w:rFonts w:ascii="Times New Roman" w:hAnsi="Times New Roman"/>
        </w:rPr>
      </w:pPr>
      <w:r>
        <w:rPr>
          <w:rFonts w:ascii="Times New Roman" w:hAnsi="Times New Roman"/>
        </w:rPr>
        <w:t xml:space="preserve">We note the absence of considering climate change adaptation policy in the terms of reference for this review. We believe this to be a significant oversight and a key policy gap that requires significant investment and attention. </w:t>
      </w:r>
      <w:r w:rsidRPr="00A96AE3">
        <w:rPr>
          <w:rFonts w:ascii="Times New Roman" w:hAnsi="Times New Roman"/>
        </w:rPr>
        <w:t xml:space="preserve">Most critically, adaptation planning requires commitment and acknowledgement of the differing roles and responsibilities of all levels of government, and effective action will not just be about supporting local government, but working in an </w:t>
      </w:r>
      <w:proofErr w:type="spellStart"/>
      <w:r w:rsidRPr="00A96AE3">
        <w:rPr>
          <w:rFonts w:ascii="Times New Roman" w:hAnsi="Times New Roman"/>
        </w:rPr>
        <w:t>ongoing</w:t>
      </w:r>
      <w:proofErr w:type="spellEnd"/>
      <w:r w:rsidRPr="00A96AE3">
        <w:rPr>
          <w:rFonts w:ascii="Times New Roman" w:hAnsi="Times New Roman"/>
        </w:rPr>
        <w:t xml:space="preserve"> partnership</w:t>
      </w:r>
      <w:r>
        <w:rPr>
          <w:rFonts w:ascii="Times New Roman" w:hAnsi="Times New Roman"/>
        </w:rPr>
        <w:t xml:space="preserve"> between federal, state and local government</w:t>
      </w:r>
      <w:r w:rsidRPr="00A96AE3">
        <w:rPr>
          <w:rFonts w:ascii="Times New Roman" w:hAnsi="Times New Roman"/>
        </w:rPr>
        <w:t xml:space="preserve">. </w:t>
      </w:r>
    </w:p>
    <w:p w14:paraId="22AF9339" w14:textId="77777777" w:rsidR="00A96AE3" w:rsidRDefault="00A96AE3" w:rsidP="00833BC2">
      <w:pPr>
        <w:rPr>
          <w:rFonts w:ascii="Times New Roman" w:hAnsi="Times New Roman"/>
        </w:rPr>
      </w:pPr>
    </w:p>
    <w:p w14:paraId="6E4F12AD" w14:textId="529D5F20" w:rsidR="00833BC2" w:rsidRPr="00833BC2" w:rsidRDefault="00A96AE3" w:rsidP="00833BC2">
      <w:pPr>
        <w:rPr>
          <w:rFonts w:ascii="Times New Roman" w:hAnsi="Times New Roman"/>
        </w:rPr>
      </w:pPr>
      <w:r>
        <w:rPr>
          <w:rFonts w:ascii="Times New Roman" w:hAnsi="Times New Roman"/>
        </w:rPr>
        <w:t xml:space="preserve">In conclusion, </w:t>
      </w:r>
      <w:r w:rsidR="00612507">
        <w:rPr>
          <w:rFonts w:ascii="Times New Roman" w:hAnsi="Times New Roman"/>
        </w:rPr>
        <w:t>N</w:t>
      </w:r>
      <w:r w:rsidR="00833BC2" w:rsidRPr="00833BC2">
        <w:rPr>
          <w:rFonts w:ascii="Times New Roman" w:hAnsi="Times New Roman"/>
        </w:rPr>
        <w:t xml:space="preserve">AGA supports ambitious, strong and effective emission reduction policies, informed by the climate science that indicates urgent and substantial action is required, and underpinned by community support for climate change action at all levels. NAGA is happy and willing to work with the Government to ensure consistent and robust approaches to emission </w:t>
      </w:r>
      <w:proofErr w:type="gramStart"/>
      <w:r w:rsidR="00833BC2" w:rsidRPr="00833BC2">
        <w:rPr>
          <w:rFonts w:ascii="Times New Roman" w:hAnsi="Times New Roman"/>
        </w:rPr>
        <w:t>reduction which</w:t>
      </w:r>
      <w:proofErr w:type="gramEnd"/>
      <w:r w:rsidR="00833BC2" w:rsidRPr="00833BC2">
        <w:rPr>
          <w:rFonts w:ascii="Times New Roman" w:hAnsi="Times New Roman"/>
        </w:rPr>
        <w:t xml:space="preserve"> represents the best value proposition for Australia and the global climate.</w:t>
      </w:r>
    </w:p>
    <w:p w14:paraId="09498203" w14:textId="593EBBCD" w:rsidR="00CF396E" w:rsidRPr="00F711DF" w:rsidRDefault="00CF396E" w:rsidP="00F83992">
      <w:pPr>
        <w:spacing w:before="100" w:after="100" w:line="276" w:lineRule="auto"/>
        <w:rPr>
          <w:rFonts w:ascii="Times New Roman" w:hAnsi="Times New Roman"/>
        </w:rPr>
      </w:pPr>
      <w:r w:rsidRPr="00F711DF">
        <w:rPr>
          <w:rFonts w:ascii="Times New Roman" w:hAnsi="Times New Roman"/>
        </w:rPr>
        <w:t xml:space="preserve">Please contact </w:t>
      </w:r>
      <w:r w:rsidR="001E36D7">
        <w:rPr>
          <w:rFonts w:ascii="Times New Roman" w:hAnsi="Times New Roman"/>
        </w:rPr>
        <w:t>David</w:t>
      </w:r>
      <w:r w:rsidR="00F84A3F" w:rsidRPr="00F711DF">
        <w:rPr>
          <w:rFonts w:ascii="Times New Roman" w:hAnsi="Times New Roman"/>
        </w:rPr>
        <w:t xml:space="preserve"> </w:t>
      </w:r>
      <w:proofErr w:type="spellStart"/>
      <w:r w:rsidR="001E36D7">
        <w:rPr>
          <w:rFonts w:ascii="Times New Roman" w:hAnsi="Times New Roman"/>
        </w:rPr>
        <w:t>Meiklejohn</w:t>
      </w:r>
      <w:proofErr w:type="spellEnd"/>
      <w:r w:rsidR="001E36D7">
        <w:rPr>
          <w:rFonts w:ascii="Times New Roman" w:hAnsi="Times New Roman"/>
        </w:rPr>
        <w:t xml:space="preserve"> </w:t>
      </w:r>
      <w:r w:rsidR="00F84A3F" w:rsidRPr="00F711DF">
        <w:rPr>
          <w:rFonts w:ascii="Times New Roman" w:hAnsi="Times New Roman"/>
        </w:rPr>
        <w:t>(phone: 9385 850</w:t>
      </w:r>
      <w:r w:rsidR="001E36D7">
        <w:rPr>
          <w:rFonts w:ascii="Times New Roman" w:hAnsi="Times New Roman"/>
        </w:rPr>
        <w:t>5</w:t>
      </w:r>
      <w:r w:rsidR="008C0462" w:rsidRPr="00F711DF">
        <w:rPr>
          <w:rFonts w:ascii="Times New Roman" w:hAnsi="Times New Roman"/>
        </w:rPr>
        <w:t xml:space="preserve"> or email </w:t>
      </w:r>
      <w:hyperlink r:id="rId18" w:history="1">
        <w:r w:rsidR="001E36D7" w:rsidRPr="00530996">
          <w:rPr>
            <w:rStyle w:val="Hyperlink"/>
            <w:rFonts w:ascii="Times New Roman" w:hAnsi="Times New Roman"/>
          </w:rPr>
          <w:t>david@mefl.com.au</w:t>
        </w:r>
      </w:hyperlink>
      <w:r w:rsidR="00F84A3F" w:rsidRPr="00F711DF">
        <w:rPr>
          <w:rFonts w:ascii="Times New Roman" w:hAnsi="Times New Roman"/>
        </w:rPr>
        <w:t>)</w:t>
      </w:r>
      <w:r w:rsidRPr="00F711DF">
        <w:rPr>
          <w:rFonts w:ascii="Times New Roman" w:hAnsi="Times New Roman"/>
        </w:rPr>
        <w:t xml:space="preserve"> if you would like further information, case studies or </w:t>
      </w:r>
      <w:r w:rsidR="00F84A3F" w:rsidRPr="00F711DF">
        <w:rPr>
          <w:rFonts w:ascii="Times New Roman" w:hAnsi="Times New Roman"/>
        </w:rPr>
        <w:t xml:space="preserve">any </w:t>
      </w:r>
      <w:r w:rsidRPr="00F711DF">
        <w:rPr>
          <w:rFonts w:ascii="Times New Roman" w:hAnsi="Times New Roman"/>
        </w:rPr>
        <w:t xml:space="preserve">clarification </w:t>
      </w:r>
      <w:r w:rsidR="00F84A3F" w:rsidRPr="00F711DF">
        <w:rPr>
          <w:rFonts w:ascii="Times New Roman" w:hAnsi="Times New Roman"/>
        </w:rPr>
        <w:t>regarding</w:t>
      </w:r>
      <w:r w:rsidRPr="00F711DF">
        <w:rPr>
          <w:rFonts w:ascii="Times New Roman" w:hAnsi="Times New Roman"/>
        </w:rPr>
        <w:t xml:space="preserve"> the issues raised in this </w:t>
      </w:r>
      <w:r w:rsidR="00F84A3F" w:rsidRPr="00F711DF">
        <w:rPr>
          <w:rFonts w:ascii="Times New Roman" w:hAnsi="Times New Roman"/>
        </w:rPr>
        <w:t>letter</w:t>
      </w:r>
      <w:r w:rsidRPr="00F711DF">
        <w:rPr>
          <w:rFonts w:ascii="Times New Roman" w:hAnsi="Times New Roman"/>
        </w:rPr>
        <w:t>.</w:t>
      </w:r>
      <w:r w:rsidR="00F84A3F" w:rsidRPr="00F711DF">
        <w:rPr>
          <w:rFonts w:ascii="Times New Roman" w:hAnsi="Times New Roman"/>
        </w:rPr>
        <w:t xml:space="preserve"> </w:t>
      </w:r>
    </w:p>
    <w:p w14:paraId="6F303880" w14:textId="77777777" w:rsidR="00CF396E" w:rsidRPr="00F711DF" w:rsidRDefault="00CF396E" w:rsidP="00F83992">
      <w:pPr>
        <w:spacing w:before="100" w:after="100" w:line="276" w:lineRule="auto"/>
        <w:rPr>
          <w:rFonts w:ascii="Times New Roman" w:hAnsi="Times New Roman"/>
        </w:rPr>
      </w:pPr>
      <w:r w:rsidRPr="00F711DF">
        <w:rPr>
          <w:rFonts w:ascii="Times New Roman" w:hAnsi="Times New Roman"/>
        </w:rPr>
        <w:t>Yours sincerely</w:t>
      </w:r>
    </w:p>
    <w:p w14:paraId="27F48A00" w14:textId="70B7D778" w:rsidR="009E342A" w:rsidRPr="00F711DF" w:rsidRDefault="001E36D7" w:rsidP="00F83992">
      <w:pPr>
        <w:spacing w:before="100" w:after="100" w:line="276" w:lineRule="auto"/>
        <w:rPr>
          <w:rFonts w:ascii="Times New Roman" w:hAnsi="Times New Roman"/>
          <w:noProof/>
          <w:lang w:val="en-US" w:eastAsia="en-US"/>
        </w:rPr>
      </w:pPr>
      <w:r>
        <w:rPr>
          <w:rFonts w:ascii="Times New Roman" w:hAnsi="Times New Roman"/>
          <w:noProof/>
          <w:lang w:val="en-US" w:eastAsia="en-US"/>
        </w:rPr>
        <w:drawing>
          <wp:inline distT="0" distB="0" distL="0" distR="0" wp14:anchorId="291D6705" wp14:editId="1A880F18">
            <wp:extent cx="206057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0575" cy="658495"/>
                    </a:xfrm>
                    <a:prstGeom prst="rect">
                      <a:avLst/>
                    </a:prstGeom>
                    <a:noFill/>
                  </pic:spPr>
                </pic:pic>
              </a:graphicData>
            </a:graphic>
          </wp:inline>
        </w:drawing>
      </w:r>
    </w:p>
    <w:p w14:paraId="2DA60932" w14:textId="26A26309" w:rsidR="00330DED" w:rsidRPr="00F711DF" w:rsidRDefault="00330DED" w:rsidP="00F83992">
      <w:pPr>
        <w:spacing w:before="100" w:after="100" w:line="276" w:lineRule="auto"/>
        <w:rPr>
          <w:rFonts w:ascii="Times New Roman" w:hAnsi="Times New Roman"/>
          <w:noProof/>
          <w:lang w:val="en-US" w:eastAsia="en-US"/>
        </w:rPr>
      </w:pPr>
    </w:p>
    <w:p w14:paraId="6B5EF372" w14:textId="31F44904" w:rsidR="000729DC" w:rsidRDefault="001E36D7" w:rsidP="009C66D6">
      <w:pPr>
        <w:spacing w:after="100" w:line="276" w:lineRule="auto"/>
        <w:rPr>
          <w:rFonts w:ascii="Times New Roman" w:hAnsi="Times New Roman"/>
          <w:noProof/>
          <w:lang w:val="en-AU"/>
        </w:rPr>
      </w:pPr>
      <w:r>
        <w:rPr>
          <w:rFonts w:ascii="Times New Roman" w:hAnsi="Times New Roman"/>
          <w:noProof/>
          <w:lang w:val="en-AU"/>
        </w:rPr>
        <w:t xml:space="preserve">David Meiklejohn </w:t>
      </w:r>
    </w:p>
    <w:p w14:paraId="2FAD99DC" w14:textId="75E1FC62" w:rsidR="001E36D7" w:rsidRDefault="001E36D7" w:rsidP="009C66D6">
      <w:pPr>
        <w:spacing w:after="100" w:line="276" w:lineRule="auto"/>
        <w:rPr>
          <w:rFonts w:ascii="Times New Roman" w:hAnsi="Times New Roman"/>
        </w:rPr>
      </w:pPr>
      <w:r>
        <w:rPr>
          <w:rFonts w:ascii="Times New Roman" w:hAnsi="Times New Roman"/>
          <w:noProof/>
          <w:lang w:val="en-AU"/>
        </w:rPr>
        <w:t>NAGA Executive Officer</w:t>
      </w:r>
    </w:p>
    <w:p w14:paraId="7DA0457B" w14:textId="77777777" w:rsidR="0073334E" w:rsidRPr="000729DC" w:rsidRDefault="0073334E" w:rsidP="0073334E">
      <w:pPr>
        <w:rPr>
          <w:b/>
        </w:rPr>
      </w:pPr>
      <w:r>
        <w:rPr>
          <w:b/>
          <w:bCs/>
          <w:i/>
          <w:sz w:val="18"/>
        </w:rPr>
        <w:lastRenderedPageBreak/>
        <w:t>The views represented in this submission do not necessarily represent the views of all NAGA members individually.</w:t>
      </w:r>
    </w:p>
    <w:p w14:paraId="330C658B" w14:textId="77777777" w:rsidR="0073334E" w:rsidRPr="00F711DF" w:rsidRDefault="0073334E" w:rsidP="00F83992">
      <w:pPr>
        <w:spacing w:before="100" w:after="100" w:line="276" w:lineRule="auto"/>
        <w:rPr>
          <w:rFonts w:ascii="Times New Roman" w:hAnsi="Times New Roman"/>
        </w:rPr>
      </w:pPr>
      <w:bookmarkStart w:id="0" w:name="_GoBack"/>
      <w:bookmarkEnd w:id="0"/>
    </w:p>
    <w:sectPr w:rsidR="0073334E" w:rsidRPr="00F711DF" w:rsidSect="00220C80">
      <w:headerReference w:type="default" r:id="rId20"/>
      <w:footerReference w:type="even" r:id="rId21"/>
      <w:footerReference w:type="default" r:id="rId22"/>
      <w:headerReference w:type="first" r:id="rId23"/>
      <w:footerReference w:type="first" r:id="rId24"/>
      <w:pgSz w:w="11906" w:h="16838" w:code="9"/>
      <w:pgMar w:top="1021" w:right="1021" w:bottom="1021" w:left="1361" w:header="720" w:footer="720" w:gutter="0"/>
      <w:cols w:space="708"/>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194B" w14:textId="77777777" w:rsidR="004F246B" w:rsidRDefault="004F246B" w:rsidP="00D04547">
      <w:r>
        <w:separator/>
      </w:r>
    </w:p>
  </w:endnote>
  <w:endnote w:type="continuationSeparator" w:id="0">
    <w:p w14:paraId="4D97FC95" w14:textId="77777777" w:rsidR="004F246B" w:rsidRDefault="004F246B" w:rsidP="00D04547">
      <w:r>
        <w:continuationSeparator/>
      </w:r>
    </w:p>
  </w:endnote>
  <w:endnote w:type="continuationNotice" w:id="1">
    <w:p w14:paraId="54FCB148" w14:textId="77777777" w:rsidR="004F246B" w:rsidRDefault="004F2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D0B5" w14:textId="77777777" w:rsidR="00697AF6" w:rsidRDefault="00697AF6" w:rsidP="00FD6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66FB8" w14:textId="77777777" w:rsidR="00697AF6" w:rsidRDefault="00697A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8087" w14:textId="77777777" w:rsidR="00697AF6" w:rsidRPr="00895451" w:rsidRDefault="00697AF6" w:rsidP="00FD6CDB">
    <w:pPr>
      <w:pStyle w:val="Footer"/>
      <w:framePr w:wrap="around" w:vAnchor="text" w:hAnchor="margin" w:xAlign="center" w:y="1"/>
      <w:rPr>
        <w:rStyle w:val="PageNumber"/>
        <w:rFonts w:ascii="Times New Roman" w:hAnsi="Times New Roman"/>
        <w:sz w:val="18"/>
        <w:szCs w:val="18"/>
      </w:rPr>
    </w:pPr>
    <w:r w:rsidRPr="00895451">
      <w:rPr>
        <w:rStyle w:val="PageNumber"/>
        <w:rFonts w:ascii="Times New Roman" w:hAnsi="Times New Roman"/>
        <w:sz w:val="18"/>
        <w:szCs w:val="18"/>
      </w:rPr>
      <w:fldChar w:fldCharType="begin"/>
    </w:r>
    <w:r w:rsidRPr="00895451">
      <w:rPr>
        <w:rStyle w:val="PageNumber"/>
        <w:rFonts w:ascii="Times New Roman" w:hAnsi="Times New Roman"/>
        <w:sz w:val="18"/>
        <w:szCs w:val="18"/>
      </w:rPr>
      <w:instrText xml:space="preserve">PAGE  </w:instrText>
    </w:r>
    <w:r w:rsidRPr="00895451">
      <w:rPr>
        <w:rStyle w:val="PageNumber"/>
        <w:rFonts w:ascii="Times New Roman" w:hAnsi="Times New Roman"/>
        <w:sz w:val="18"/>
        <w:szCs w:val="18"/>
      </w:rPr>
      <w:fldChar w:fldCharType="separate"/>
    </w:r>
    <w:r w:rsidR="00843C1E">
      <w:rPr>
        <w:rStyle w:val="PageNumber"/>
        <w:rFonts w:ascii="Times New Roman" w:hAnsi="Times New Roman"/>
        <w:noProof/>
        <w:sz w:val="18"/>
        <w:szCs w:val="18"/>
      </w:rPr>
      <w:t>2</w:t>
    </w:r>
    <w:r w:rsidRPr="00895451">
      <w:rPr>
        <w:rStyle w:val="PageNumber"/>
        <w:rFonts w:ascii="Times New Roman" w:hAnsi="Times New Roman"/>
        <w:sz w:val="18"/>
        <w:szCs w:val="18"/>
      </w:rPr>
      <w:fldChar w:fldCharType="end"/>
    </w:r>
  </w:p>
  <w:p w14:paraId="0D6EC3EC" w14:textId="77777777" w:rsidR="00697AF6" w:rsidRPr="000729DC" w:rsidRDefault="00697AF6" w:rsidP="000729DC">
    <w:pPr>
      <w:pStyle w:val="Footer"/>
      <w:pBdr>
        <w:top w:val="single" w:sz="4" w:space="1" w:color="auto"/>
      </w:pBdr>
      <w:tabs>
        <w:tab w:val="clear" w:pos="8306"/>
        <w:tab w:val="right" w:pos="9356"/>
      </w:tabs>
      <w:rPr>
        <w:sz w:val="18"/>
        <w:szCs w:val="18"/>
        <w:lang w:val="en-AU"/>
      </w:rPr>
    </w:pPr>
    <w:r w:rsidRPr="000729DC">
      <w:rPr>
        <w:sz w:val="18"/>
        <w:szCs w:val="18"/>
        <w:lang w:val="en-AU"/>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1FE7" w14:textId="77777777" w:rsidR="00697AF6" w:rsidRDefault="00697AF6" w:rsidP="00320517">
    <w:pPr>
      <w:ind w:right="-115"/>
      <w:rPr>
        <w:b/>
        <w:color w:val="808080" w:themeColor="background1" w:themeShade="80"/>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13E7" w14:textId="77777777" w:rsidR="004F246B" w:rsidRDefault="004F246B" w:rsidP="00D04547">
      <w:r>
        <w:separator/>
      </w:r>
    </w:p>
  </w:footnote>
  <w:footnote w:type="continuationSeparator" w:id="0">
    <w:p w14:paraId="6FF053B7" w14:textId="77777777" w:rsidR="004F246B" w:rsidRDefault="004F246B" w:rsidP="00D04547">
      <w:r>
        <w:continuationSeparator/>
      </w:r>
    </w:p>
  </w:footnote>
  <w:footnote w:type="continuationNotice" w:id="1">
    <w:p w14:paraId="367A7676" w14:textId="77777777" w:rsidR="004F246B" w:rsidRDefault="004F246B">
      <w:pPr>
        <w:spacing w:after="0"/>
      </w:pPr>
    </w:p>
  </w:footnote>
  <w:footnote w:id="2">
    <w:p w14:paraId="1DC7E355" w14:textId="77777777" w:rsidR="00573954" w:rsidRPr="00573954" w:rsidRDefault="00573954" w:rsidP="00573954">
      <w:pPr>
        <w:pStyle w:val="FootnoteText"/>
        <w:rPr>
          <w:lang w:val="en-US"/>
        </w:rPr>
      </w:pPr>
      <w:r>
        <w:rPr>
          <w:rStyle w:val="FootnoteReference"/>
        </w:rPr>
        <w:footnoteRef/>
      </w:r>
      <w:r>
        <w:t xml:space="preserve"> </w:t>
      </w:r>
      <w:hyperlink r:id="rId1" w:history="1">
        <w:r w:rsidRPr="00E54C49">
          <w:rPr>
            <w:rStyle w:val="Hyperlink"/>
          </w:rPr>
          <w:t>http://www.climatechangeauthority.gov.au/special-review/first-draft-report</w:t>
        </w:r>
      </w:hyperlink>
      <w:r>
        <w:t xml:space="preserve"> </w:t>
      </w:r>
    </w:p>
  </w:footnote>
  <w:footnote w:id="3">
    <w:p w14:paraId="67421930" w14:textId="0984C523" w:rsidR="00573954" w:rsidRPr="00573954" w:rsidRDefault="00573954">
      <w:pPr>
        <w:pStyle w:val="FootnoteText"/>
        <w:rPr>
          <w:lang w:val="en-US"/>
        </w:rPr>
      </w:pPr>
      <w:r>
        <w:rPr>
          <w:rStyle w:val="FootnoteReference"/>
        </w:rPr>
        <w:footnoteRef/>
      </w:r>
      <w:r>
        <w:t xml:space="preserve"> </w:t>
      </w:r>
      <w:hyperlink r:id="rId2" w:history="1">
        <w:r w:rsidRPr="00E54C49">
          <w:rPr>
            <w:rStyle w:val="Hyperlink"/>
          </w:rPr>
          <w:t>http://www.climatechangeauthority.gov.au/reviews/targets-and-progress-review/part-c/chapter-9-australia%E2%80%99s-2020-and-2030-goals</w:t>
        </w:r>
      </w:hyperlink>
      <w:r>
        <w:t xml:space="preserve"> </w:t>
      </w:r>
    </w:p>
  </w:footnote>
  <w:footnote w:id="4">
    <w:p w14:paraId="3CF138E6" w14:textId="6B2E98DB" w:rsidR="00573954" w:rsidRPr="00573954" w:rsidRDefault="00573954">
      <w:pPr>
        <w:pStyle w:val="FootnoteText"/>
        <w:rPr>
          <w:lang w:val="en-US"/>
        </w:rPr>
      </w:pPr>
      <w:r>
        <w:rPr>
          <w:rStyle w:val="FootnoteReference"/>
        </w:rPr>
        <w:footnoteRef/>
      </w:r>
      <w:r>
        <w:t xml:space="preserve"> </w:t>
      </w:r>
      <w:hyperlink r:id="rId3" w:history="1">
        <w:r w:rsidRPr="00E54C49">
          <w:rPr>
            <w:rStyle w:val="Hyperlink"/>
          </w:rPr>
          <w:t>http://www.climateinstitute.org.au/verve/_resources/AustraliasPost2020EmissionChallenge_FINAL_LM.pdf</w:t>
        </w:r>
      </w:hyperlink>
      <w:r>
        <w:t xml:space="preserve"> </w:t>
      </w:r>
    </w:p>
  </w:footnote>
  <w:footnote w:id="5">
    <w:p w14:paraId="5DC99BB0" w14:textId="082869A9" w:rsidR="000B2731" w:rsidRPr="000B2731" w:rsidRDefault="000B2731">
      <w:pPr>
        <w:pStyle w:val="FootnoteText"/>
        <w:rPr>
          <w:lang w:val="en-US"/>
        </w:rPr>
      </w:pPr>
      <w:r>
        <w:rPr>
          <w:rStyle w:val="FootnoteReference"/>
        </w:rPr>
        <w:footnoteRef/>
      </w:r>
      <w:r>
        <w:t xml:space="preserve"> </w:t>
      </w:r>
      <w:hyperlink r:id="rId4" w:history="1">
        <w:r w:rsidRPr="00E54C49">
          <w:rPr>
            <w:rStyle w:val="Hyperlink"/>
          </w:rPr>
          <w:t>http://www.climateworksaustralia.org/project/current-project/pathways-deep-decarbonisation-2050-how-australia-can-prosper-low-carbon</w:t>
        </w:r>
      </w:hyperlink>
      <w:r>
        <w:t xml:space="preserve"> </w:t>
      </w:r>
    </w:p>
  </w:footnote>
  <w:footnote w:id="6">
    <w:p w14:paraId="3B31697C" w14:textId="36190658" w:rsidR="000B2731" w:rsidRPr="000B2731" w:rsidRDefault="000B2731">
      <w:pPr>
        <w:pStyle w:val="FootnoteText"/>
        <w:rPr>
          <w:lang w:val="en-US"/>
        </w:rPr>
      </w:pPr>
      <w:r>
        <w:rPr>
          <w:rStyle w:val="FootnoteReference"/>
        </w:rPr>
        <w:footnoteRef/>
      </w:r>
      <w:r>
        <w:t xml:space="preserve"> </w:t>
      </w:r>
      <w:hyperlink r:id="rId5" w:history="1">
        <w:r w:rsidRPr="00E54C49">
          <w:rPr>
            <w:rStyle w:val="Hyperlink"/>
          </w:rPr>
          <w:t>http://www.climateworksaustralia.org/project/current-project/pathways-deep-decarbonisation-2050-how-australia-can-prosper-low-carbon</w:t>
        </w:r>
      </w:hyperlink>
      <w:r>
        <w:t xml:space="preserve"> </w:t>
      </w:r>
    </w:p>
  </w:footnote>
  <w:footnote w:id="7">
    <w:p w14:paraId="551DCFCE" w14:textId="1B2A54ED" w:rsidR="000B2731" w:rsidRPr="000B2731" w:rsidRDefault="000B2731">
      <w:pPr>
        <w:pStyle w:val="FootnoteText"/>
        <w:rPr>
          <w:lang w:val="en-US"/>
        </w:rPr>
      </w:pPr>
      <w:r>
        <w:rPr>
          <w:rStyle w:val="FootnoteReference"/>
        </w:rPr>
        <w:footnoteRef/>
      </w:r>
      <w:r>
        <w:t xml:space="preserve"> </w:t>
      </w:r>
      <w:hyperlink r:id="rId6" w:history="1">
        <w:r w:rsidRPr="00E54C49">
          <w:rPr>
            <w:rStyle w:val="Hyperlink"/>
          </w:rPr>
          <w:t>http://awsassets.wwf.org.au/downloads/fs077_australia_can_cut_emissions_deeply_and_the_cost_is_low_21apr15_v2.pdf</w:t>
        </w:r>
      </w:hyperlink>
      <w:r>
        <w:t xml:space="preserve"> </w:t>
      </w:r>
    </w:p>
  </w:footnote>
  <w:footnote w:id="8">
    <w:p w14:paraId="6A73F2FC" w14:textId="52FB8FD4" w:rsidR="000B2731" w:rsidRPr="000B2731" w:rsidRDefault="000B2731">
      <w:pPr>
        <w:pStyle w:val="FootnoteText"/>
        <w:rPr>
          <w:lang w:val="en-US"/>
        </w:rPr>
      </w:pPr>
      <w:r>
        <w:rPr>
          <w:rStyle w:val="FootnoteReference"/>
        </w:rPr>
        <w:footnoteRef/>
      </w:r>
      <w:r>
        <w:t xml:space="preserve"> </w:t>
      </w:r>
      <w:r w:rsidRPr="000B2731">
        <w:t>http://apo.org.au/research/green-gold-rush-how-ambitious-environmental-policy-can-make-australia-leader-race-green</w:t>
      </w:r>
    </w:p>
  </w:footnote>
  <w:footnote w:id="9">
    <w:p w14:paraId="1E427307" w14:textId="2DBA2EAA" w:rsidR="000B2731" w:rsidRPr="000B2731" w:rsidRDefault="000B2731">
      <w:pPr>
        <w:pStyle w:val="FootnoteText"/>
        <w:rPr>
          <w:lang w:val="en-US"/>
        </w:rPr>
      </w:pPr>
      <w:r>
        <w:rPr>
          <w:rStyle w:val="FootnoteReference"/>
        </w:rPr>
        <w:footnoteRef/>
      </w:r>
      <w:r>
        <w:t xml:space="preserve"> </w:t>
      </w:r>
      <w:hyperlink r:id="rId7" w:history="1">
        <w:r w:rsidRPr="00E54C49">
          <w:rPr>
            <w:rStyle w:val="Hyperlink"/>
          </w:rPr>
          <w:t>http://www.climatecouncil.org.au/uploads/ee2523dc632c9b01df11ecc6e3dd2184.pdf</w:t>
        </w:r>
      </w:hyperlink>
      <w:r>
        <w:t xml:space="preserve"> </w:t>
      </w:r>
    </w:p>
  </w:footnote>
  <w:footnote w:id="10">
    <w:p w14:paraId="1F881333" w14:textId="225D63C9" w:rsidR="000B2731" w:rsidRPr="000B2731" w:rsidRDefault="000B2731">
      <w:pPr>
        <w:pStyle w:val="FootnoteText"/>
        <w:rPr>
          <w:lang w:val="en-US"/>
        </w:rPr>
      </w:pPr>
      <w:r>
        <w:rPr>
          <w:rStyle w:val="FootnoteReference"/>
        </w:rPr>
        <w:footnoteRef/>
      </w:r>
      <w:r>
        <w:t xml:space="preserve"> </w:t>
      </w:r>
      <w:hyperlink r:id="rId8" w:history="1">
        <w:r w:rsidRPr="00E54C49">
          <w:rPr>
            <w:rStyle w:val="Hyperlink"/>
          </w:rPr>
          <w:t>http://www.asbec.asn.au/wp-content/uploads/Energy%20Efficiency%20Council%20Platform%2024%20June%202010.pdf</w:t>
        </w:r>
      </w:hyperlink>
      <w:r>
        <w:t xml:space="preserve"> </w:t>
      </w:r>
    </w:p>
  </w:footnote>
  <w:footnote w:id="11">
    <w:p w14:paraId="4C01B3CC" w14:textId="3A42E6AD" w:rsidR="00A96AE3" w:rsidRPr="00A96AE3" w:rsidRDefault="00A96AE3">
      <w:pPr>
        <w:pStyle w:val="FootnoteText"/>
        <w:rPr>
          <w:lang w:val="en-US"/>
        </w:rPr>
      </w:pPr>
      <w:r>
        <w:rPr>
          <w:rStyle w:val="FootnoteReference"/>
        </w:rPr>
        <w:footnoteRef/>
      </w:r>
      <w:r>
        <w:t xml:space="preserve"> </w:t>
      </w:r>
      <w:hyperlink r:id="rId9" w:history="1">
        <w:r w:rsidRPr="00E54C49">
          <w:rPr>
            <w:rStyle w:val="Hyperlink"/>
          </w:rPr>
          <w:t>https://www.climatecouncil.org.au/price-of-gas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8C32" w14:textId="77777777" w:rsidR="004C0879" w:rsidRDefault="004C08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E8B2" w14:textId="77777777" w:rsidR="00697AF6" w:rsidRDefault="00697AF6">
    <w:pPr>
      <w:pStyle w:val="Header"/>
    </w:pPr>
    <w:r>
      <w:rPr>
        <w:noProof/>
        <w:lang w:val="en-US" w:eastAsia="en-US"/>
      </w:rPr>
      <mc:AlternateContent>
        <mc:Choice Requires="wps">
          <w:drawing>
            <wp:anchor distT="0" distB="0" distL="114300" distR="114300" simplePos="0" relativeHeight="251657728" behindDoc="0" locked="0" layoutInCell="1" allowOverlap="1" wp14:anchorId="1A53BB08" wp14:editId="193AE80B">
              <wp:simplePos x="0" y="0"/>
              <wp:positionH relativeFrom="column">
                <wp:posOffset>2540000</wp:posOffset>
              </wp:positionH>
              <wp:positionV relativeFrom="paragraph">
                <wp:posOffset>-154305</wp:posOffset>
              </wp:positionV>
              <wp:extent cx="3726815" cy="1295400"/>
              <wp:effectExtent l="0" t="0" r="6985"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7F900" w14:textId="77777777" w:rsidR="00697AF6" w:rsidRPr="00F83992" w:rsidRDefault="00697AF6" w:rsidP="00F83992">
                          <w:pPr>
                            <w:spacing w:after="0"/>
                          </w:pPr>
                          <w:r>
                            <w:rPr>
                              <w:noProof/>
                              <w:lang w:val="en-US" w:eastAsia="en-US"/>
                            </w:rPr>
                            <w:drawing>
                              <wp:inline distT="0" distB="0" distL="0" distR="0" wp14:anchorId="0953AF0A" wp14:editId="6A6ED864">
                                <wp:extent cx="3524250" cy="1181100"/>
                                <wp:effectExtent l="19050" t="0" r="0" b="0"/>
                                <wp:docPr id="1" name="Picture 1" descr="Description: NAG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GA Letterhead"/>
                                        <pic:cNvPicPr>
                                          <a:picLocks noChangeAspect="1" noChangeArrowheads="1"/>
                                        </pic:cNvPicPr>
                                      </pic:nvPicPr>
                                      <pic:blipFill>
                                        <a:blip r:embed="rId1"/>
                                        <a:srcRect l="44279" t="2693" r="3333" b="84610"/>
                                        <a:stretch>
                                          <a:fillRect/>
                                        </a:stretch>
                                      </pic:blipFill>
                                      <pic:spPr bwMode="auto">
                                        <a:xfrm>
                                          <a:off x="0" y="0"/>
                                          <a:ext cx="3524250" cy="1181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53BB08" id="_x0000_t202" coordsize="21600,21600" o:spt="202" path="m,l,21600r21600,l21600,xe">
              <v:stroke joinstyle="miter"/>
              <v:path gradientshapeok="t" o:connecttype="rect"/>
            </v:shapetype>
            <v:shape id="Text Box 16" o:spid="_x0000_s1026" type="#_x0000_t202" style="position:absolute;margin-left:200pt;margin-top:-12.15pt;width:293.45pt;height:10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wpgwIAAA8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" stroked="f">
              <v:textbox>
                <w:txbxContent>
                  <w:p w14:paraId="7807F900" w14:textId="77777777" w:rsidR="00697AF6" w:rsidRPr="00F83992" w:rsidRDefault="00697AF6" w:rsidP="00F83992">
                    <w:pPr>
                      <w:spacing w:after="0"/>
                    </w:pPr>
                    <w:r>
                      <w:rPr>
                        <w:noProof/>
                        <w:lang w:val="en-US" w:eastAsia="en-US"/>
                      </w:rPr>
                      <w:drawing>
                        <wp:inline distT="0" distB="0" distL="0" distR="0" wp14:anchorId="0953AF0A" wp14:editId="6A6ED864">
                          <wp:extent cx="3524250" cy="1181100"/>
                          <wp:effectExtent l="19050" t="0" r="0" b="0"/>
                          <wp:docPr id="1" name="Picture 1" descr="Description: NAG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GA Letterhead"/>
                                  <pic:cNvPicPr>
                                    <a:picLocks noChangeAspect="1" noChangeArrowheads="1"/>
                                  </pic:cNvPicPr>
                                </pic:nvPicPr>
                                <pic:blipFill>
                                  <a:blip r:embed="rId2"/>
                                  <a:srcRect l="44279" t="2693" r="3333" b="84610"/>
                                  <a:stretch>
                                    <a:fillRect/>
                                  </a:stretch>
                                </pic:blipFill>
                                <pic:spPr bwMode="auto">
                                  <a:xfrm>
                                    <a:off x="0" y="0"/>
                                    <a:ext cx="3524250" cy="1181100"/>
                                  </a:xfrm>
                                  <a:prstGeom prst="rect">
                                    <a:avLst/>
                                  </a:prstGeom>
                                  <a:noFill/>
                                  <a:ln w="9525">
                                    <a:noFill/>
                                    <a:miter lim="800000"/>
                                    <a:headEnd/>
                                    <a:tailEnd/>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AA0"/>
    <w:multiLevelType w:val="hybridMultilevel"/>
    <w:tmpl w:val="AA227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8F3243"/>
    <w:multiLevelType w:val="hybridMultilevel"/>
    <w:tmpl w:val="BF223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C70A5A"/>
    <w:multiLevelType w:val="hybridMultilevel"/>
    <w:tmpl w:val="8B66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31DF7"/>
    <w:multiLevelType w:val="multilevel"/>
    <w:tmpl w:val="F3C8F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F7734A"/>
    <w:multiLevelType w:val="hybridMultilevel"/>
    <w:tmpl w:val="91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61A09"/>
    <w:multiLevelType w:val="hybridMultilevel"/>
    <w:tmpl w:val="B1B60ACC"/>
    <w:lvl w:ilvl="0" w:tplc="2CF2C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D556E"/>
    <w:multiLevelType w:val="hybridMultilevel"/>
    <w:tmpl w:val="6756B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84E1824"/>
    <w:multiLevelType w:val="hybridMultilevel"/>
    <w:tmpl w:val="9E4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6594B"/>
    <w:multiLevelType w:val="hybridMultilevel"/>
    <w:tmpl w:val="14D80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0B26E0"/>
    <w:multiLevelType w:val="hybridMultilevel"/>
    <w:tmpl w:val="B080B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313CE4"/>
    <w:multiLevelType w:val="hybridMultilevel"/>
    <w:tmpl w:val="5134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5F1470"/>
    <w:multiLevelType w:val="hybridMultilevel"/>
    <w:tmpl w:val="6DFC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9D15DD"/>
    <w:multiLevelType w:val="hybridMultilevel"/>
    <w:tmpl w:val="CC54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23751"/>
    <w:multiLevelType w:val="hybridMultilevel"/>
    <w:tmpl w:val="860E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91031D6"/>
    <w:multiLevelType w:val="hybridMultilevel"/>
    <w:tmpl w:val="97AE5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D700F"/>
    <w:multiLevelType w:val="hybridMultilevel"/>
    <w:tmpl w:val="A2C6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51519B"/>
    <w:multiLevelType w:val="hybridMultilevel"/>
    <w:tmpl w:val="00D67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1D471E5"/>
    <w:multiLevelType w:val="hybridMultilevel"/>
    <w:tmpl w:val="D38AE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5831B8"/>
    <w:multiLevelType w:val="hybridMultilevel"/>
    <w:tmpl w:val="D55CCA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57912E19"/>
    <w:multiLevelType w:val="hybridMultilevel"/>
    <w:tmpl w:val="7CC0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7B690B"/>
    <w:multiLevelType w:val="hybridMultilevel"/>
    <w:tmpl w:val="164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87D19"/>
    <w:multiLevelType w:val="hybridMultilevel"/>
    <w:tmpl w:val="D522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B1997"/>
    <w:multiLevelType w:val="hybridMultilevel"/>
    <w:tmpl w:val="E3E2D64C"/>
    <w:lvl w:ilvl="0" w:tplc="013240A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8B37579"/>
    <w:multiLevelType w:val="hybridMultilevel"/>
    <w:tmpl w:val="F190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6050CE"/>
    <w:multiLevelType w:val="hybridMultilevel"/>
    <w:tmpl w:val="DADA7D8E"/>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CB41C9"/>
    <w:multiLevelType w:val="hybridMultilevel"/>
    <w:tmpl w:val="F44CB7AE"/>
    <w:lvl w:ilvl="0" w:tplc="08090001">
      <w:start w:val="1"/>
      <w:numFmt w:val="bullet"/>
      <w:lvlText w:val=""/>
      <w:lvlJc w:val="left"/>
      <w:pPr>
        <w:ind w:left="360" w:hanging="360"/>
      </w:pPr>
      <w:rPr>
        <w:rFonts w:ascii="Symbol" w:hAnsi="Symbol" w:hint="default"/>
      </w:rPr>
    </w:lvl>
    <w:lvl w:ilvl="1" w:tplc="02782364">
      <w:numFmt w:val="bullet"/>
      <w:lvlText w:val="•"/>
      <w:lvlJc w:val="left"/>
      <w:pPr>
        <w:ind w:left="1080" w:hanging="360"/>
      </w:pPr>
      <w:rPr>
        <w:rFonts w:ascii="SymbolMT" w:eastAsia="Times New Roman"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4700A5"/>
    <w:multiLevelType w:val="hybridMultilevel"/>
    <w:tmpl w:val="16EC9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45A32"/>
    <w:multiLevelType w:val="hybridMultilevel"/>
    <w:tmpl w:val="076C2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B1363E5"/>
    <w:multiLevelType w:val="hybridMultilevel"/>
    <w:tmpl w:val="0CDC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25"/>
  </w:num>
  <w:num w:numId="5">
    <w:abstractNumId w:val="28"/>
  </w:num>
  <w:num w:numId="6">
    <w:abstractNumId w:val="27"/>
  </w:num>
  <w:num w:numId="7">
    <w:abstractNumId w:val="9"/>
  </w:num>
  <w:num w:numId="8">
    <w:abstractNumId w:val="8"/>
  </w:num>
  <w:num w:numId="9">
    <w:abstractNumId w:val="6"/>
  </w:num>
  <w:num w:numId="10">
    <w:abstractNumId w:val="0"/>
  </w:num>
  <w:num w:numId="11">
    <w:abstractNumId w:val="13"/>
  </w:num>
  <w:num w:numId="12">
    <w:abstractNumId w:val="23"/>
  </w:num>
  <w:num w:numId="13">
    <w:abstractNumId w:val="16"/>
  </w:num>
  <w:num w:numId="14">
    <w:abstractNumId w:val="24"/>
  </w:num>
  <w:num w:numId="15">
    <w:abstractNumId w:val="1"/>
  </w:num>
  <w:num w:numId="16">
    <w:abstractNumId w:val="22"/>
  </w:num>
  <w:num w:numId="17">
    <w:abstractNumId w:val="2"/>
  </w:num>
  <w:num w:numId="18">
    <w:abstractNumId w:val="19"/>
  </w:num>
  <w:num w:numId="19">
    <w:abstractNumId w:val="17"/>
  </w:num>
  <w:num w:numId="20">
    <w:abstractNumId w:val="11"/>
  </w:num>
  <w:num w:numId="21">
    <w:abstractNumId w:val="21"/>
  </w:num>
  <w:num w:numId="22">
    <w:abstractNumId w:val="26"/>
  </w:num>
  <w:num w:numId="23">
    <w:abstractNumId w:val="3"/>
  </w:num>
  <w:num w:numId="24">
    <w:abstractNumId w:val="7"/>
  </w:num>
  <w:num w:numId="25">
    <w:abstractNumId w:val="12"/>
  </w:num>
  <w:num w:numId="26">
    <w:abstractNumId w:val="14"/>
  </w:num>
  <w:num w:numId="27">
    <w:abstractNumId w:val="15"/>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CE"/>
    <w:rsid w:val="00002F58"/>
    <w:rsid w:val="00003F5E"/>
    <w:rsid w:val="00005F18"/>
    <w:rsid w:val="0001176C"/>
    <w:rsid w:val="00012851"/>
    <w:rsid w:val="00016483"/>
    <w:rsid w:val="00061243"/>
    <w:rsid w:val="00070D97"/>
    <w:rsid w:val="000729DC"/>
    <w:rsid w:val="00085975"/>
    <w:rsid w:val="000A180E"/>
    <w:rsid w:val="000A42DD"/>
    <w:rsid w:val="000A53BD"/>
    <w:rsid w:val="000B201B"/>
    <w:rsid w:val="000B2731"/>
    <w:rsid w:val="000B4671"/>
    <w:rsid w:val="000B5B60"/>
    <w:rsid w:val="000C72EE"/>
    <w:rsid w:val="000D4DAF"/>
    <w:rsid w:val="000F74DD"/>
    <w:rsid w:val="001034DE"/>
    <w:rsid w:val="0010540D"/>
    <w:rsid w:val="00111981"/>
    <w:rsid w:val="00111A07"/>
    <w:rsid w:val="00134AB6"/>
    <w:rsid w:val="00137BE2"/>
    <w:rsid w:val="001549C1"/>
    <w:rsid w:val="00157FA2"/>
    <w:rsid w:val="00165C98"/>
    <w:rsid w:val="00167B1B"/>
    <w:rsid w:val="001732A3"/>
    <w:rsid w:val="001864D5"/>
    <w:rsid w:val="00187CE1"/>
    <w:rsid w:val="001A0954"/>
    <w:rsid w:val="001A1640"/>
    <w:rsid w:val="001D272B"/>
    <w:rsid w:val="001E36D7"/>
    <w:rsid w:val="001F2FE0"/>
    <w:rsid w:val="001F51E7"/>
    <w:rsid w:val="001F7FB8"/>
    <w:rsid w:val="0020283F"/>
    <w:rsid w:val="00206089"/>
    <w:rsid w:val="00220C80"/>
    <w:rsid w:val="00227828"/>
    <w:rsid w:val="00242B24"/>
    <w:rsid w:val="0026381B"/>
    <w:rsid w:val="00263CF9"/>
    <w:rsid w:val="00264F6D"/>
    <w:rsid w:val="00266A34"/>
    <w:rsid w:val="00280864"/>
    <w:rsid w:val="00282BCB"/>
    <w:rsid w:val="002939F3"/>
    <w:rsid w:val="002A2466"/>
    <w:rsid w:val="002C09D1"/>
    <w:rsid w:val="002C0FBC"/>
    <w:rsid w:val="002C30DA"/>
    <w:rsid w:val="002C447E"/>
    <w:rsid w:val="002C5B4D"/>
    <w:rsid w:val="002D3F48"/>
    <w:rsid w:val="002E3D7B"/>
    <w:rsid w:val="002E4329"/>
    <w:rsid w:val="002F32CE"/>
    <w:rsid w:val="00306E91"/>
    <w:rsid w:val="00320517"/>
    <w:rsid w:val="003269BA"/>
    <w:rsid w:val="00330DED"/>
    <w:rsid w:val="0035039F"/>
    <w:rsid w:val="00351C39"/>
    <w:rsid w:val="003553F4"/>
    <w:rsid w:val="00370130"/>
    <w:rsid w:val="00371BDB"/>
    <w:rsid w:val="00372EC3"/>
    <w:rsid w:val="00373D40"/>
    <w:rsid w:val="00373DBA"/>
    <w:rsid w:val="00374F9F"/>
    <w:rsid w:val="003A49D0"/>
    <w:rsid w:val="003C477C"/>
    <w:rsid w:val="003E2502"/>
    <w:rsid w:val="003E3CD8"/>
    <w:rsid w:val="003E4896"/>
    <w:rsid w:val="003E6147"/>
    <w:rsid w:val="003F48A7"/>
    <w:rsid w:val="00410D04"/>
    <w:rsid w:val="00411CE3"/>
    <w:rsid w:val="004261AF"/>
    <w:rsid w:val="0042723A"/>
    <w:rsid w:val="004279D8"/>
    <w:rsid w:val="00431C70"/>
    <w:rsid w:val="004359E2"/>
    <w:rsid w:val="00446ABB"/>
    <w:rsid w:val="00462A1E"/>
    <w:rsid w:val="004756DC"/>
    <w:rsid w:val="004A58BE"/>
    <w:rsid w:val="004B48CF"/>
    <w:rsid w:val="004C0879"/>
    <w:rsid w:val="004D39F5"/>
    <w:rsid w:val="004F0296"/>
    <w:rsid w:val="004F1E65"/>
    <w:rsid w:val="004F246B"/>
    <w:rsid w:val="00507B58"/>
    <w:rsid w:val="0051259E"/>
    <w:rsid w:val="00515D99"/>
    <w:rsid w:val="00523E20"/>
    <w:rsid w:val="005267E0"/>
    <w:rsid w:val="00531A69"/>
    <w:rsid w:val="005327EB"/>
    <w:rsid w:val="0054359B"/>
    <w:rsid w:val="00551840"/>
    <w:rsid w:val="00553B3F"/>
    <w:rsid w:val="00565696"/>
    <w:rsid w:val="00565E51"/>
    <w:rsid w:val="00573954"/>
    <w:rsid w:val="00573AE8"/>
    <w:rsid w:val="00574BA1"/>
    <w:rsid w:val="00580CA3"/>
    <w:rsid w:val="00584FDF"/>
    <w:rsid w:val="005857C7"/>
    <w:rsid w:val="00595B89"/>
    <w:rsid w:val="005B7A52"/>
    <w:rsid w:val="005D555B"/>
    <w:rsid w:val="005E0197"/>
    <w:rsid w:val="005E4862"/>
    <w:rsid w:val="005E4BF0"/>
    <w:rsid w:val="005E5784"/>
    <w:rsid w:val="006031E9"/>
    <w:rsid w:val="00612507"/>
    <w:rsid w:val="006372D1"/>
    <w:rsid w:val="00646D1F"/>
    <w:rsid w:val="00657316"/>
    <w:rsid w:val="00661CE7"/>
    <w:rsid w:val="0068571F"/>
    <w:rsid w:val="00697AF6"/>
    <w:rsid w:val="006C2DD7"/>
    <w:rsid w:val="006C54BE"/>
    <w:rsid w:val="006D6307"/>
    <w:rsid w:val="006E4703"/>
    <w:rsid w:val="006E4B06"/>
    <w:rsid w:val="006F09E6"/>
    <w:rsid w:val="007028A1"/>
    <w:rsid w:val="00710EA9"/>
    <w:rsid w:val="0071640F"/>
    <w:rsid w:val="00724FE8"/>
    <w:rsid w:val="0073334E"/>
    <w:rsid w:val="00747978"/>
    <w:rsid w:val="007609EF"/>
    <w:rsid w:val="0077280A"/>
    <w:rsid w:val="007D3409"/>
    <w:rsid w:val="007D3410"/>
    <w:rsid w:val="007E6F85"/>
    <w:rsid w:val="00802F27"/>
    <w:rsid w:val="00804D39"/>
    <w:rsid w:val="00810F7F"/>
    <w:rsid w:val="00833BC2"/>
    <w:rsid w:val="00840893"/>
    <w:rsid w:val="00843C1E"/>
    <w:rsid w:val="008450BD"/>
    <w:rsid w:val="00870AFE"/>
    <w:rsid w:val="00872BAF"/>
    <w:rsid w:val="00876FFC"/>
    <w:rsid w:val="008808C0"/>
    <w:rsid w:val="00887623"/>
    <w:rsid w:val="00895451"/>
    <w:rsid w:val="008C0462"/>
    <w:rsid w:val="008C69EF"/>
    <w:rsid w:val="008D1658"/>
    <w:rsid w:val="00912EB7"/>
    <w:rsid w:val="009537B3"/>
    <w:rsid w:val="00961167"/>
    <w:rsid w:val="00972385"/>
    <w:rsid w:val="00983E86"/>
    <w:rsid w:val="009A5112"/>
    <w:rsid w:val="009B1552"/>
    <w:rsid w:val="009C3CEC"/>
    <w:rsid w:val="009C66D6"/>
    <w:rsid w:val="009D5B3E"/>
    <w:rsid w:val="009E342A"/>
    <w:rsid w:val="00A14E52"/>
    <w:rsid w:val="00A3725B"/>
    <w:rsid w:val="00A63B71"/>
    <w:rsid w:val="00A674B0"/>
    <w:rsid w:val="00A7671D"/>
    <w:rsid w:val="00A92160"/>
    <w:rsid w:val="00A96AE3"/>
    <w:rsid w:val="00A972FA"/>
    <w:rsid w:val="00AB0FD9"/>
    <w:rsid w:val="00AE7429"/>
    <w:rsid w:val="00B25C7E"/>
    <w:rsid w:val="00B31212"/>
    <w:rsid w:val="00B51D16"/>
    <w:rsid w:val="00B53796"/>
    <w:rsid w:val="00B835AE"/>
    <w:rsid w:val="00B979A3"/>
    <w:rsid w:val="00BA0D4E"/>
    <w:rsid w:val="00BA4383"/>
    <w:rsid w:val="00BA55C1"/>
    <w:rsid w:val="00BB5E75"/>
    <w:rsid w:val="00BC20A3"/>
    <w:rsid w:val="00BD1D19"/>
    <w:rsid w:val="00BD72F7"/>
    <w:rsid w:val="00BE1408"/>
    <w:rsid w:val="00BE6C9E"/>
    <w:rsid w:val="00BF076A"/>
    <w:rsid w:val="00BF223B"/>
    <w:rsid w:val="00C21324"/>
    <w:rsid w:val="00C338C8"/>
    <w:rsid w:val="00C3796F"/>
    <w:rsid w:val="00C37C3E"/>
    <w:rsid w:val="00C41489"/>
    <w:rsid w:val="00C57783"/>
    <w:rsid w:val="00C6512F"/>
    <w:rsid w:val="00C66888"/>
    <w:rsid w:val="00C7136F"/>
    <w:rsid w:val="00C74A4F"/>
    <w:rsid w:val="00C94D50"/>
    <w:rsid w:val="00CA7E50"/>
    <w:rsid w:val="00CB00AB"/>
    <w:rsid w:val="00CC5F41"/>
    <w:rsid w:val="00CD646C"/>
    <w:rsid w:val="00CF396E"/>
    <w:rsid w:val="00D00351"/>
    <w:rsid w:val="00D04547"/>
    <w:rsid w:val="00D2606E"/>
    <w:rsid w:val="00D360C9"/>
    <w:rsid w:val="00D65D1A"/>
    <w:rsid w:val="00D83DAF"/>
    <w:rsid w:val="00D84AEA"/>
    <w:rsid w:val="00D91B5E"/>
    <w:rsid w:val="00DB223F"/>
    <w:rsid w:val="00DD4746"/>
    <w:rsid w:val="00E1371D"/>
    <w:rsid w:val="00E17B16"/>
    <w:rsid w:val="00E275DC"/>
    <w:rsid w:val="00E31AB5"/>
    <w:rsid w:val="00E35B40"/>
    <w:rsid w:val="00E5267C"/>
    <w:rsid w:val="00EA2B3E"/>
    <w:rsid w:val="00EA30A4"/>
    <w:rsid w:val="00EA3DD7"/>
    <w:rsid w:val="00EC3446"/>
    <w:rsid w:val="00EE0783"/>
    <w:rsid w:val="00EE2B23"/>
    <w:rsid w:val="00F01333"/>
    <w:rsid w:val="00F15C5A"/>
    <w:rsid w:val="00F16B0A"/>
    <w:rsid w:val="00F31B5B"/>
    <w:rsid w:val="00F45E02"/>
    <w:rsid w:val="00F711DF"/>
    <w:rsid w:val="00F83992"/>
    <w:rsid w:val="00F84A3F"/>
    <w:rsid w:val="00F940C7"/>
    <w:rsid w:val="00F970B5"/>
    <w:rsid w:val="00F971E5"/>
    <w:rsid w:val="00FA0FC2"/>
    <w:rsid w:val="00FB1900"/>
    <w:rsid w:val="00FC1DCE"/>
    <w:rsid w:val="00FD6CDB"/>
    <w:rsid w:val="00FE1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11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uiPriority w:val="99"/>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link w:val="ListParagraphChar"/>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paragraph" w:styleId="FootnoteText">
    <w:name w:val="footnote text"/>
    <w:basedOn w:val="Normal"/>
    <w:link w:val="FootnoteTextChar"/>
    <w:uiPriority w:val="99"/>
    <w:unhideWhenUsed/>
    <w:rsid w:val="000729DC"/>
    <w:pPr>
      <w:spacing w:after="0"/>
    </w:pPr>
    <w:rPr>
      <w:rFonts w:eastAsia="Calibri" w:cs="Times New Roman"/>
      <w:lang w:eastAsia="en-US"/>
    </w:rPr>
  </w:style>
  <w:style w:type="character" w:customStyle="1" w:styleId="FootnoteTextChar">
    <w:name w:val="Footnote Text Char"/>
    <w:basedOn w:val="DefaultParagraphFont"/>
    <w:link w:val="FootnoteText"/>
    <w:uiPriority w:val="99"/>
    <w:rsid w:val="000729DC"/>
    <w:rPr>
      <w:rFonts w:ascii="Arial" w:eastAsia="Calibri" w:hAnsi="Arial"/>
      <w:lang w:eastAsia="en-US"/>
    </w:rPr>
  </w:style>
  <w:style w:type="character" w:styleId="FootnoteReference">
    <w:name w:val="footnote reference"/>
    <w:basedOn w:val="DefaultParagraphFont"/>
    <w:uiPriority w:val="99"/>
    <w:unhideWhenUsed/>
    <w:rsid w:val="000729DC"/>
    <w:rPr>
      <w:rFonts w:ascii="Times New Roman" w:hAnsi="Times New Roman" w:cs="Times New Roman" w:hint="default"/>
      <w:vertAlign w:val="superscript"/>
    </w:rPr>
  </w:style>
  <w:style w:type="paragraph" w:customStyle="1" w:styleId="ReportText">
    <w:name w:val="Report Text"/>
    <w:link w:val="ReportTextChar"/>
    <w:rsid w:val="00CF396E"/>
    <w:pPr>
      <w:spacing w:after="120" w:line="260" w:lineRule="atLeast"/>
      <w:ind w:left="1253"/>
    </w:pPr>
    <w:rPr>
      <w:rFonts w:ascii="Arial" w:hAnsi="Arial"/>
      <w:lang w:val="en-AU" w:eastAsia="en-US"/>
    </w:rPr>
  </w:style>
  <w:style w:type="character" w:customStyle="1" w:styleId="ReportTextChar">
    <w:name w:val="Report Text Char"/>
    <w:basedOn w:val="DefaultParagraphFont"/>
    <w:link w:val="ReportText"/>
    <w:locked/>
    <w:rsid w:val="00CF396E"/>
    <w:rPr>
      <w:rFonts w:ascii="Arial" w:hAnsi="Arial"/>
      <w:lang w:val="en-AU" w:eastAsia="en-US"/>
    </w:rPr>
  </w:style>
  <w:style w:type="table" w:styleId="TableGrid">
    <w:name w:val="Table Grid"/>
    <w:basedOn w:val="TableNormal"/>
    <w:uiPriority w:val="59"/>
    <w:rsid w:val="00CF396E"/>
    <w:rPr>
      <w:rFonts w:asciiTheme="minorHAnsi" w:eastAsiaTheme="minorHAnsi" w:hAnsiTheme="minorHAnsi" w:cstheme="minorBidi"/>
      <w:sz w:val="22"/>
      <w:szCs w:val="22"/>
      <w:lang w:val="en-A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371D"/>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895451"/>
  </w:style>
  <w:style w:type="character" w:customStyle="1" w:styleId="ListParagraphChar">
    <w:name w:val="List Paragraph Char"/>
    <w:basedOn w:val="DefaultParagraphFont"/>
    <w:link w:val="ListParagraph"/>
    <w:uiPriority w:val="34"/>
    <w:rsid w:val="003E3CD8"/>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uiPriority w:val="99"/>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link w:val="ListParagraphChar"/>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paragraph" w:styleId="FootnoteText">
    <w:name w:val="footnote text"/>
    <w:basedOn w:val="Normal"/>
    <w:link w:val="FootnoteTextChar"/>
    <w:uiPriority w:val="99"/>
    <w:unhideWhenUsed/>
    <w:rsid w:val="000729DC"/>
    <w:pPr>
      <w:spacing w:after="0"/>
    </w:pPr>
    <w:rPr>
      <w:rFonts w:eastAsia="Calibri" w:cs="Times New Roman"/>
      <w:lang w:eastAsia="en-US"/>
    </w:rPr>
  </w:style>
  <w:style w:type="character" w:customStyle="1" w:styleId="FootnoteTextChar">
    <w:name w:val="Footnote Text Char"/>
    <w:basedOn w:val="DefaultParagraphFont"/>
    <w:link w:val="FootnoteText"/>
    <w:uiPriority w:val="99"/>
    <w:rsid w:val="000729DC"/>
    <w:rPr>
      <w:rFonts w:ascii="Arial" w:eastAsia="Calibri" w:hAnsi="Arial"/>
      <w:lang w:eastAsia="en-US"/>
    </w:rPr>
  </w:style>
  <w:style w:type="character" w:styleId="FootnoteReference">
    <w:name w:val="footnote reference"/>
    <w:basedOn w:val="DefaultParagraphFont"/>
    <w:uiPriority w:val="99"/>
    <w:unhideWhenUsed/>
    <w:rsid w:val="000729DC"/>
    <w:rPr>
      <w:rFonts w:ascii="Times New Roman" w:hAnsi="Times New Roman" w:cs="Times New Roman" w:hint="default"/>
      <w:vertAlign w:val="superscript"/>
    </w:rPr>
  </w:style>
  <w:style w:type="paragraph" w:customStyle="1" w:styleId="ReportText">
    <w:name w:val="Report Text"/>
    <w:link w:val="ReportTextChar"/>
    <w:rsid w:val="00CF396E"/>
    <w:pPr>
      <w:spacing w:after="120" w:line="260" w:lineRule="atLeast"/>
      <w:ind w:left="1253"/>
    </w:pPr>
    <w:rPr>
      <w:rFonts w:ascii="Arial" w:hAnsi="Arial"/>
      <w:lang w:val="en-AU" w:eastAsia="en-US"/>
    </w:rPr>
  </w:style>
  <w:style w:type="character" w:customStyle="1" w:styleId="ReportTextChar">
    <w:name w:val="Report Text Char"/>
    <w:basedOn w:val="DefaultParagraphFont"/>
    <w:link w:val="ReportText"/>
    <w:locked/>
    <w:rsid w:val="00CF396E"/>
    <w:rPr>
      <w:rFonts w:ascii="Arial" w:hAnsi="Arial"/>
      <w:lang w:val="en-AU" w:eastAsia="en-US"/>
    </w:rPr>
  </w:style>
  <w:style w:type="table" w:styleId="TableGrid">
    <w:name w:val="Table Grid"/>
    <w:basedOn w:val="TableNormal"/>
    <w:uiPriority w:val="59"/>
    <w:rsid w:val="00CF396E"/>
    <w:rPr>
      <w:rFonts w:asciiTheme="minorHAnsi" w:eastAsiaTheme="minorHAnsi" w:hAnsiTheme="minorHAnsi" w:cstheme="minorBidi"/>
      <w:sz w:val="22"/>
      <w:szCs w:val="22"/>
      <w:lang w:val="en-A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371D"/>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895451"/>
  </w:style>
  <w:style w:type="character" w:customStyle="1" w:styleId="ListParagraphChar">
    <w:name w:val="List Paragraph Char"/>
    <w:basedOn w:val="DefaultParagraphFont"/>
    <w:link w:val="ListParagraph"/>
    <w:uiPriority w:val="34"/>
    <w:rsid w:val="003E3CD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3495">
      <w:bodyDiv w:val="1"/>
      <w:marLeft w:val="0"/>
      <w:marRight w:val="0"/>
      <w:marTop w:val="0"/>
      <w:marBottom w:val="0"/>
      <w:divBdr>
        <w:top w:val="none" w:sz="0" w:space="0" w:color="auto"/>
        <w:left w:val="none" w:sz="0" w:space="0" w:color="auto"/>
        <w:bottom w:val="none" w:sz="0" w:space="0" w:color="auto"/>
        <w:right w:val="none" w:sz="0" w:space="0" w:color="auto"/>
      </w:divBdr>
    </w:div>
    <w:div w:id="935165720">
      <w:bodyDiv w:val="1"/>
      <w:marLeft w:val="0"/>
      <w:marRight w:val="0"/>
      <w:marTop w:val="0"/>
      <w:marBottom w:val="0"/>
      <w:divBdr>
        <w:top w:val="none" w:sz="0" w:space="0" w:color="auto"/>
        <w:left w:val="none" w:sz="0" w:space="0" w:color="auto"/>
        <w:bottom w:val="none" w:sz="0" w:space="0" w:color="auto"/>
        <w:right w:val="none" w:sz="0" w:space="0" w:color="auto"/>
      </w:divBdr>
    </w:div>
    <w:div w:id="17091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numbering" Target="numbering.xml"/><Relationship Id="rId11" Type="http://schemas.openxmlformats.org/officeDocument/2006/relationships/styles" Target="styles.xml"/><Relationship Id="rId12" Type="http://schemas.microsoft.com/office/2007/relationships/stylesWithEffects" Target="stylesWithEffects.xml"/><Relationship Id="rId13" Type="http://schemas.openxmlformats.org/officeDocument/2006/relationships/settings" Target="settings.xml"/><Relationship Id="rId14" Type="http://schemas.openxmlformats.org/officeDocument/2006/relationships/webSettings" Target="webSettings.xml"/><Relationship Id="rId15" Type="http://schemas.openxmlformats.org/officeDocument/2006/relationships/footnotes" Target="footnotes.xml"/><Relationship Id="rId16" Type="http://schemas.openxmlformats.org/officeDocument/2006/relationships/endnotes" Target="endnotes.xml"/><Relationship Id="rId17" Type="http://schemas.openxmlformats.org/officeDocument/2006/relationships/hyperlink" Target="mailto:climatechangereview@environment.gov.au" TargetMode="External"/><Relationship Id="rId18" Type="http://schemas.openxmlformats.org/officeDocument/2006/relationships/hyperlink" Target="mailto:david@mefl.com.au"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3" Type="http://schemas.openxmlformats.org/officeDocument/2006/relationships/hyperlink" Target="http://www.climateinstitute.org.au/verve/_resources/AustraliasPost2020EmissionChallenge_FINAL_LM.pdf" TargetMode="External"/><Relationship Id="rId4" Type="http://schemas.openxmlformats.org/officeDocument/2006/relationships/hyperlink" Target="http://www.climateworksaustralia.org/project/current-project/pathways-deep-decarbonisation-2050-how-australia-can-prosper-low-carbon" TargetMode="External"/><Relationship Id="rId5" Type="http://schemas.openxmlformats.org/officeDocument/2006/relationships/hyperlink" Target="http://www.climateworksaustralia.org/project/current-project/pathways-deep-decarbonisation-2050-how-australia-can-prosper-low-carbon" TargetMode="External"/><Relationship Id="rId6" Type="http://schemas.openxmlformats.org/officeDocument/2006/relationships/hyperlink" Target="http://awsassets.wwf.org.au/downloads/fs077_australia_can_cut_emissions_deeply_and_the_cost_is_low_21apr15_v2.pdf" TargetMode="External"/><Relationship Id="rId7" Type="http://schemas.openxmlformats.org/officeDocument/2006/relationships/hyperlink" Target="http://www.climatecouncil.org.au/uploads/ee2523dc632c9b01df11ecc6e3dd2184.pdf" TargetMode="External"/><Relationship Id="rId8" Type="http://schemas.openxmlformats.org/officeDocument/2006/relationships/hyperlink" Target="http://www.asbec.asn.au/wp-content/uploads/Energy%20Efficiency%20Council%20Platform%2024%20June%202010.pdf" TargetMode="External"/><Relationship Id="rId9" Type="http://schemas.openxmlformats.org/officeDocument/2006/relationships/hyperlink" Target="https://www.climatecouncil.org.au/price-of-gas" TargetMode="External"/><Relationship Id="rId1" Type="http://schemas.openxmlformats.org/officeDocument/2006/relationships/hyperlink" Target="http://www.climatechangeauthority.gov.au/special-review/first-draft-report" TargetMode="External"/><Relationship Id="rId2" Type="http://schemas.openxmlformats.org/officeDocument/2006/relationships/hyperlink" Target="http://www.climatechangeauthority.gov.au/reviews/targets-and-progress-review/part-c/chapter-9-australia%E2%80%99s-2020-and-2030-go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ct:contentTypeSchema xmlns:ct="http://schemas.microsoft.com/office/2006/metadata/contentType" xmlns:ma="http://schemas.microsoft.com/office/2006/metadata/properties/metaAttributes" ct:_="" ma:_="" ma:contentTypeName="NSC Document" ma:contentTypeID="0x0101000427F62DB85EA749944C48D2326AB041008F0563AC59C316469BE9EE43893AE0F4" ma:contentTypeVersion="56" ma:contentTypeDescription="" ma:contentTypeScope="" ma:versionID="f858146699d009662281436549818623">
  <xsd:schema xmlns:xsd="http://www.w3.org/2001/XMLSchema" xmlns:xs="http://www.w3.org/2001/XMLSchema" xmlns:p="http://schemas.microsoft.com/office/2006/metadata/properties" xmlns:ns2="26862788-80d8-4ba8-b7eb-4533621a9594" xmlns:ns3="9705d417-fee0-4533-8dce-6ed379d985bc" xmlns:ns4="fc8ab192-8602-4722-84e7-9eff16321286" targetNamespace="http://schemas.microsoft.com/office/2006/metadata/properties" ma:root="true" ma:fieldsID="72bd607962e0585a131b4085e266d027" ns2:_="" ns3:_="" ns4:_="">
    <xsd:import namespace="26862788-80d8-4ba8-b7eb-4533621a9594"/>
    <xsd:import namespace="9705d417-fee0-4533-8dce-6ed379d985bc"/>
    <xsd:import namespace="fc8ab192-8602-4722-84e7-9eff16321286"/>
    <xsd:element name="properties">
      <xsd:complexType>
        <xsd:sequence>
          <xsd:element name="documentManagement">
            <xsd:complexType>
              <xsd:all>
                <xsd:element ref="ns2:nb83ad0d8b6542a0953aad1a19640a7a" minOccurs="0"/>
                <xsd:element ref="ns4:o9c5a89375014bf28981064c7f81c627" minOccurs="0"/>
                <xsd:element ref="ns2:a61ae508c6694d3eabd5c4bf0ac5e8e6" minOccurs="0"/>
                <xsd:element ref="ns2:TaxCatchAll" minOccurs="0"/>
                <xsd:element ref="ns3:n2364306c9db444cad6034dfb325a9d0" minOccurs="0"/>
                <xsd:element ref="ns2:TaxCatchAllLabel" minOccurs="0"/>
                <xsd:element ref="ns3:m44a1faa0d0f444a804edf2d04f16a2c" minOccurs="0"/>
                <xsd:element ref="ns4:bae690a0c63040b984bd7d4affcdad98" minOccurs="0"/>
                <xsd:element ref="ns2:ie805ea53a354a4bb1e5c081d8fc6b50" minOccurs="0"/>
                <xsd:element ref="ns4:ea50f0653ed7493fa73b4fe72a0ba8dd" minOccurs="0"/>
                <xsd:element ref="ns2:_dlc_DocId" minOccurs="0"/>
                <xsd:element ref="ns2:_dlc_DocIdUrl" minOccurs="0"/>
                <xsd:element ref="ns2:_dlc_DocIdPersistId" minOccurs="0"/>
                <xsd:element ref="ns2:NAR_x0020_Name" minOccurs="0"/>
                <xsd:element ref="ns2:NAR_x0020_Address" minOccurs="0"/>
                <xsd:element ref="ns3:Pathway_Na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nb83ad0d8b6542a0953aad1a19640a7a" ma:index="11"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5"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24"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NAR_x0020_Name" ma:index="29" nillable="true" ma:displayName="NAR Name" ma:internalName="NAR_x0020_Name">
      <xsd:simpleType>
        <xsd:restriction base="dms:Text">
          <xsd:maxLength value="255"/>
        </xsd:restriction>
      </xsd:simpleType>
    </xsd:element>
    <xsd:element name="NAR_x0020_Address" ma:index="30" nillable="true" ma:displayName="NAR Address" ma:internalName="NAR_x0020_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n2364306c9db444cad6034dfb325a9d0" ma:index="17" ma:taxonomy="true" ma:internalName="n2364306c9db444cad6034dfb325a9d0" ma:taxonomyFieldName="NSC_ProgramName" ma:displayName="Program Name" ma:readOnly="false" ma:default="" ma:fieldId="{72364306-c9db-444c-ad60-34dfb325a9d0}" ma:sspId="9e4672c0-7a1b-4167-8664-1f3b422d4b4e" ma:termSetId="7e632e96-6de0-4141-948c-e13a5cda381a" ma:anchorId="00000000-0000-0000-0000-000000000000" ma:open="true" ma:isKeyword="false">
      <xsd:complexType>
        <xsd:sequence>
          <xsd:element ref="pc:Terms" minOccurs="0" maxOccurs="1"/>
        </xsd:sequence>
      </xsd:complexType>
    </xsd:element>
    <xsd:element name="m44a1faa0d0f444a804edf2d04f16a2c" ma:index="21" ma:taxonomy="true" ma:internalName="m44a1faa0d0f444a804edf2d04f16a2c" ma:taxonomyFieldName="Program_x0020_Area" ma:displayName="Program Area" ma:readOnly="false" ma:default="" ma:fieldId="{644a1faa-0d0f-444a-804e-df2d04f16a2c}" ma:sspId="9e4672c0-7a1b-4167-8664-1f3b422d4b4e" ma:termSetId="ae69690f-b669-4344-a85c-7284d8b64583" ma:anchorId="00000000-0000-0000-0000-000000000000" ma:open="true" ma:isKeyword="false">
      <xsd:complexType>
        <xsd:sequence>
          <xsd:element ref="pc:Terms" minOccurs="0" maxOccurs="1"/>
        </xsd:sequence>
      </xsd:complexType>
    </xsd:element>
    <xsd:element name="Pathway_Nar_Id" ma:index="31"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ab192-8602-4722-84e7-9eff16321286" elementFormDefault="qualified">
    <xsd:import namespace="http://schemas.microsoft.com/office/2006/documentManagement/types"/>
    <xsd:import namespace="http://schemas.microsoft.com/office/infopath/2007/PartnerControls"/>
    <xsd:element name="o9c5a89375014bf28981064c7f81c627" ma:index="13"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element name="bae690a0c63040b984bd7d4affcdad98" ma:index="23" nillable="true" ma:taxonomy="true" ma:internalName="bae690a0c63040b984bd7d4affcdad98" ma:taxonomyFieldName="Program_x0020_Stage" ma:displayName="Program Stage" ma:default="" ma:fieldId="{bae690a0-c630-40b9-84bd-7d4affcdad98}" ma:sspId="9e4672c0-7a1b-4167-8664-1f3b422d4b4e" ma:termSetId="5f9a80c6-f3cb-445e-aeb9-1278de85e5cf" ma:anchorId="00000000-0000-0000-0000-000000000000" ma:open="false" ma:isKeyword="false">
      <xsd:complexType>
        <xsd:sequence>
          <xsd:element ref="pc:Terms" minOccurs="0" maxOccurs="1"/>
        </xsd:sequence>
      </xsd:complexType>
    </xsd:element>
    <xsd:element name="ea50f0653ed7493fa73b4fe72a0ba8dd" ma:index="25" nillable="true" ma:taxonomy="true" ma:internalName="ea50f0653ed7493fa73b4fe72a0ba8dd" ma:taxonomyFieldName="Program_x0020_Documentation" ma:displayName="Program Documentation" ma:default="" ma:fieldId="{ea50f065-3ed7-493f-a73b-4fe72a0ba8dd}" ma:sspId="9e4672c0-7a1b-4167-8664-1f3b422d4b4e" ma:termSetId="4753bbb8-b79f-4007-8c24-3fbee268fc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n2364306c9db444cad6034dfb325a9d0 xmlns="9705d417-fee0-4533-8dce-6ed379d985bc">
      <Terms xmlns="http://schemas.microsoft.com/office/infopath/2007/PartnerControls">
        <TermInfo xmlns="http://schemas.microsoft.com/office/infopath/2007/PartnerControls">
          <TermName xmlns="http://schemas.microsoft.com/office/infopath/2007/PartnerControls">Northern Allliance for Greenhouse Action (NAGA)</TermName>
          <TermId xmlns="http://schemas.microsoft.com/office/infopath/2007/PartnerControls">192d4b3a-9df2-49e5-ad0b-9ec906a56343</TermId>
        </TermInfo>
      </Terms>
    </n2364306c9db444cad6034dfb325a9d0>
    <NAR_x0020_Name xmlns="26862788-80d8-4ba8-b7eb-4533621a9594" xsi:nil="true"/>
    <a61ae508c6694d3eabd5c4bf0ac5e8e6 xmlns="26862788-80d8-4ba8-b7eb-4533621a9594">
      <Terms xmlns="http://schemas.microsoft.com/office/infopath/2007/PartnerControls">
        <TermInfo xmlns="http://schemas.microsoft.com/office/infopath/2007/PartnerControls">
          <TermName>July</TermName>
          <TermId>da1b8d9b-fa0e-4c17-a745-b61b0015cdfd</TermId>
        </TermInfo>
      </Terms>
    </a61ae508c6694d3eabd5c4bf0ac5e8e6>
    <TaxCatchAll xmlns="26862788-80d8-4ba8-b7eb-4533621a9594">
      <Value>241</Value>
      <Value>314</Value>
      <Value>154</Value>
      <Value>224</Value>
      <Value>223</Value>
      <Value>11</Value>
    </TaxCatchAll>
    <bae690a0c63040b984bd7d4affcdad98 xmlns="fc8ab192-8602-4722-84e7-9eff16321286">
      <Terms xmlns="http://schemas.microsoft.com/office/infopath/2007/PartnerControls"/>
    </bae690a0c63040b984bd7d4affcdad98>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37e4b4b1-3fb2-4bd8-8651-cded609ad261</TermId>
        </TermInfo>
      </Terms>
    </nb83ad0d8b6542a0953aad1a19640a7a>
    <Pathway_Nar_Id xmlns="9705d417-fee0-4533-8dce-6ed379d985bc" xsi:nil="true"/>
    <o9c5a89375014bf28981064c7f81c627 xmlns="fc8ab192-8602-4722-84e7-9eff16321286">
      <Terms xmlns="http://schemas.microsoft.com/office/infopath/2007/PartnerControls">
        <TermInfo xmlns="http://schemas.microsoft.com/office/infopath/2007/PartnerControls">
          <TermName xmlns="http://schemas.microsoft.com/office/infopath/2007/PartnerControls">External Strategy and Policy</TermName>
          <TermId xmlns="http://schemas.microsoft.com/office/infopath/2007/PartnerControls">cc655585-3524-4455-8e85-5c2db3349d64</TermId>
        </TermInfo>
      </Terms>
    </o9c5a89375014bf28981064c7f81c627>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ea50f0653ed7493fa73b4fe72a0ba8dd xmlns="fc8ab192-8602-4722-84e7-9eff16321286">
      <Terms xmlns="http://schemas.microsoft.com/office/infopath/2007/PartnerControls"/>
    </ea50f0653ed7493fa73b4fe72a0ba8dd>
    <NAR_x0020_Address xmlns="26862788-80d8-4ba8-b7eb-4533621a9594" xsi:nil="true"/>
    <m44a1faa0d0f444a804edf2d04f16a2c xmlns="9705d417-fee0-4533-8dce-6ed379d985bc">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eae05406-035a-466b-9fad-b532af0e1def</TermId>
        </TermInfo>
      </Terms>
    </m44a1faa0d0f444a804edf2d04f16a2c>
    <_dlc_DocId xmlns="26862788-80d8-4ba8-b7eb-4533621a9594">N7XP34SJ4THH-28-1510</_dlc_DocId>
    <_dlc_DocIdUrl xmlns="26862788-80d8-4ba8-b7eb-4533621a9594">
      <Url>http://sonic/teams/elp/_layouts/DocIdRedir.aspx?ID=N7XP34SJ4THH-28-1510</Url>
      <Description>N7XP34SJ4THH-28-1510</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9BCD-FD66-4846-B476-44A224FEF5D3}">
  <ds:schemaRefs>
    <ds:schemaRef ds:uri="http://schemas.microsoft.com/office/2006/metadata/customXsn"/>
  </ds:schemaRefs>
</ds:datastoreItem>
</file>

<file path=customXml/itemProps2.xml><?xml version="1.0" encoding="utf-8"?>
<ds:datastoreItem xmlns:ds="http://schemas.openxmlformats.org/officeDocument/2006/customXml" ds:itemID="{AC26FA8A-4500-4FDE-926D-D6BB70DE2930}">
  <ds:schemaRefs>
    <ds:schemaRef ds:uri="Microsoft.SharePoint.Taxonomy.ContentTypeSync"/>
  </ds:schemaRefs>
</ds:datastoreItem>
</file>

<file path=customXml/itemProps3.xml><?xml version="1.0" encoding="utf-8"?>
<ds:datastoreItem xmlns:ds="http://schemas.openxmlformats.org/officeDocument/2006/customXml" ds:itemID="{ADED8EBE-C327-40D8-9D14-0D909146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9705d417-fee0-4533-8dce-6ed379d985bc"/>
    <ds:schemaRef ds:uri="fc8ab192-8602-4722-84e7-9eff1632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2A355-C587-4892-A4EF-DD4C8FDFADFD}">
  <ds:schemaRefs>
    <ds:schemaRef ds:uri="http://schemas.microsoft.com/sharepoint/events"/>
  </ds:schemaRefs>
</ds:datastoreItem>
</file>

<file path=customXml/itemProps5.xml><?xml version="1.0" encoding="utf-8"?>
<ds:datastoreItem xmlns:ds="http://schemas.openxmlformats.org/officeDocument/2006/customXml" ds:itemID="{4884E339-CEEA-44C2-8B89-31A06A339847}">
  <ds:schemaRefs>
    <ds:schemaRef ds:uri="http://schemas.openxmlformats.org/officeDocument/2006/bibliography"/>
  </ds:schemaRefs>
</ds:datastoreItem>
</file>

<file path=customXml/itemProps6.xml><?xml version="1.0" encoding="utf-8"?>
<ds:datastoreItem xmlns:ds="http://schemas.openxmlformats.org/officeDocument/2006/customXml" ds:itemID="{4CC0A7D9-D01D-4A1B-9657-7486511606CB}">
  <ds:schemaRefs>
    <ds:schemaRef ds:uri="http://schemas.microsoft.com/sharepoint/v3/contenttype/forms"/>
  </ds:schemaRefs>
</ds:datastoreItem>
</file>

<file path=customXml/itemProps7.xml><?xml version="1.0" encoding="utf-8"?>
<ds:datastoreItem xmlns:ds="http://schemas.openxmlformats.org/officeDocument/2006/customXml" ds:itemID="{2F2C5A8F-AA80-4B3D-9182-7D3E1F47F5A4}">
  <ds:schemaRefs>
    <ds:schemaRef ds:uri="http://schemas.microsoft.com/office/2006/metadata/properties"/>
    <ds:schemaRef ds:uri="http://schemas.microsoft.com/office/infopath/2007/PartnerControls"/>
    <ds:schemaRef ds:uri="9705d417-fee0-4533-8dce-6ed379d985bc"/>
    <ds:schemaRef ds:uri="26862788-80d8-4ba8-b7eb-4533621a9594"/>
    <ds:schemaRef ds:uri="fc8ab192-8602-4722-84e7-9eff16321286"/>
  </ds:schemaRefs>
</ds:datastoreItem>
</file>

<file path=customXml/itemProps8.xml><?xml version="1.0" encoding="utf-8"?>
<ds:datastoreItem xmlns:ds="http://schemas.openxmlformats.org/officeDocument/2006/customXml" ds:itemID="{1157D9F9-1FC0-DA45-B4CC-0DE114EC4640}">
  <ds:schemaRefs>
    <ds:schemaRef ds:uri="http://schemas.openxmlformats.org/officeDocument/2006/bibliography"/>
  </ds:schemaRefs>
</ds:datastoreItem>
</file>

<file path=customXml/itemProps9.xml><?xml version="1.0" encoding="utf-8"?>
<ds:datastoreItem xmlns:ds="http://schemas.openxmlformats.org/officeDocument/2006/customXml" ds:itemID="{8016CE9B-78E5-1046-A677-D9EF3DC4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2206</Words>
  <Characters>12577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Template</vt:lpstr>
    </vt:vector>
  </TitlesOfParts>
  <Company>mefl</Company>
  <LinksUpToDate>false</LinksUpToDate>
  <CharactersWithSpaces>14754</CharactersWithSpaces>
  <SharedDoc>false</SharedDoc>
  <HLinks>
    <vt:vector size="6" baseType="variant">
      <vt:variant>
        <vt:i4>6422592</vt:i4>
      </vt:variant>
      <vt:variant>
        <vt:i4>0</vt:i4>
      </vt:variant>
      <vt:variant>
        <vt:i4>0</vt:i4>
      </vt:variant>
      <vt:variant>
        <vt:i4>5</vt:i4>
      </vt:variant>
      <vt:variant>
        <vt:lpwstr>mailto:LHYNES@DAREBIN.VIC.GOV.AU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Judy Bush</dc:creator>
  <cp:lastModifiedBy>Rob Law</cp:lastModifiedBy>
  <cp:revision>2</cp:revision>
  <cp:lastPrinted>2014-03-24T04:01:00Z</cp:lastPrinted>
  <dcterms:created xsi:type="dcterms:W3CDTF">2017-05-04T05:57:00Z</dcterms:created>
  <dcterms:modified xsi:type="dcterms:W3CDTF">2017-05-04T05:57:00Z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0x0101000427F62DB85EA749944C48D2326AB041008F0563AC59C316469BE9EE43893AE0F4</vt:lpwstr>
  </property>
  <property fmtid="{D5CDD505-2E9C-101B-9397-08002B2CF9AE}" pid="3" name="Program_x0020_Documentation">
    <vt:lpwstr/>
  </property>
  <property fmtid="{D5CDD505-2E9C-101B-9397-08002B2CF9AE}" pid="4" name="Document_x0020_Type">
    <vt:lpwstr>154;#Submission|37e4b4b1-3fb2-4bd8-8651-cded609ad261</vt:lpwstr>
  </property>
  <property fmtid="{D5CDD505-2E9C-101B-9397-08002B2CF9AE}" pid="5" name="NSC_BusinessSubject">
    <vt:lpwstr>314;#External Strategy and Policy|cc655585-3524-4455-8e85-5c2db3349d64</vt:lpwstr>
  </property>
  <property fmtid="{D5CDD505-2E9C-101B-9397-08002B2CF9AE}" pid="6" name="Year">
    <vt:lpwstr>241;#2015|97403b3a-9e46-43d0-b6c0-df983f69d886</vt:lpwstr>
  </property>
  <property fmtid="{D5CDD505-2E9C-101B-9397-08002B2CF9AE}" pid="7" name="Month">
    <vt:lpwstr>11;#July|da1b8d9b-fa0e-4c17-a745-b61b0015cdfd</vt:lpwstr>
  </property>
  <property fmtid="{D5CDD505-2E9C-101B-9397-08002B2CF9AE}" pid="8" name="Program_x0020_Area">
    <vt:lpwstr>223;#Climate Change|eae05406-035a-466b-9fad-b532af0e1def</vt:lpwstr>
  </property>
  <property fmtid="{D5CDD505-2E9C-101B-9397-08002B2CF9AE}" pid="9" name="Program_x0020_Stage">
    <vt:lpwstr/>
  </property>
  <property fmtid="{D5CDD505-2E9C-101B-9397-08002B2CF9AE}" pid="10" name="NSC_ProgramName">
    <vt:lpwstr>224;#Northern Allliance for Greenhouse Action (NAGA)|192d4b3a-9df2-49e5-ad0b-9ec906a56343</vt:lpwstr>
  </property>
  <property fmtid="{D5CDD505-2E9C-101B-9397-08002B2CF9AE}" pid="11" name="Program Area">
    <vt:lpwstr>223;#Climate Change|eae05406-035a-466b-9fad-b532af0e1def</vt:lpwstr>
  </property>
  <property fmtid="{D5CDD505-2E9C-101B-9397-08002B2CF9AE}" pid="12" name="Program Documentation">
    <vt:lpwstr/>
  </property>
  <property fmtid="{D5CDD505-2E9C-101B-9397-08002B2CF9AE}" pid="13" name="Document Type">
    <vt:lpwstr>154;#Submission|37e4b4b1-3fb2-4bd8-8651-cded609ad261</vt:lpwstr>
  </property>
  <property fmtid="{D5CDD505-2E9C-101B-9397-08002B2CF9AE}" pid="14" name="Program Stage">
    <vt:lpwstr/>
  </property>
  <property fmtid="{D5CDD505-2E9C-101B-9397-08002B2CF9AE}" pid="15" name="_dlc_DocIdItemGuid">
    <vt:lpwstr>9554fb63-1323-45a6-8f55-a86ce958b846</vt:lpwstr>
  </property>
</Properties>
</file>